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9"/>
        <w:gridCol w:w="5113"/>
      </w:tblGrid>
      <w:tr w14:paraId="0978EA8A">
        <w:trPr>
          <w:jc w:val="center"/>
        </w:trPr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1D12B0">
            <w:pPr>
              <w:jc w:val="left"/>
            </w:pP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EA8467">
            <w:pPr>
              <w:spacing w:after="20"/>
              <w:jc w:val="right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固定收益研究｜债市跟踪项目</w:t>
            </w:r>
          </w:p>
          <w:p w14:paraId="69C9AC2B">
            <w:pPr>
              <w:spacing w:after="0"/>
              <w:jc w:val="right"/>
            </w:pPr>
            <w:r>
              <w:rPr>
                <w:rFonts w:ascii="Arial" w:hAnsi="Arial" w:eastAsia="Noto Sans CJK SC"/>
                <w:b w:val="0"/>
                <w:color w:val="707880"/>
                <w:sz w:val="15"/>
              </w:rPr>
              <w:t>数据区间：2026年8月17日—8月21日  ｜  编制日期：2026年8月23日</w:t>
            </w:r>
          </w:p>
        </w:tc>
      </w:tr>
    </w:tbl>
    <w:p w14:paraId="0904C6EF">
      <w:pPr>
        <w:keepNext/>
        <w:spacing w:before="180" w:after="140" w:line="307" w:lineRule="auto"/>
        <w:jc w:val="left"/>
      </w:pPr>
      <w:r>
        <w:rPr>
          <w:rFonts w:ascii="Arial" w:hAnsi="Arial" w:eastAsia="Noto Sans CJK SC"/>
          <w:b/>
          <w:color w:val="1C2024"/>
          <w:sz w:val="41"/>
        </w:rPr>
        <w:t>弱数据推动收益率下探，资金收紧放大低位波动</w:t>
      </w:r>
    </w:p>
    <w:p w14:paraId="20A3E8AF">
      <w:pPr>
        <w:keepNext/>
        <w:pBdr>
          <w:bottom w:val="single" w:color="AAB4BE" w:sz="6" w:space="3"/>
        </w:pBdr>
        <w:spacing w:before="0" w:after="140" w:line="307" w:lineRule="auto"/>
      </w:pPr>
      <w:r>
        <w:rPr>
          <w:rFonts w:ascii="Arial" w:hAnsi="Arial" w:eastAsia="Noto Sans CJK SC"/>
          <w:b/>
          <w:color w:val="1C2024"/>
          <w:sz w:val="21"/>
        </w:rPr>
        <w:t>第三周债市周报｜2026年8月17日—8月21日</w:t>
      </w:r>
      <w:r>
        <w:rPr>
          <w:rFonts w:ascii="Arial" w:hAnsi="Arial" w:eastAsia="Noto Sans CJK SC"/>
          <w:b w:val="0"/>
          <w:color w:val="707880"/>
          <w:sz w:val="18"/>
        </w:rPr>
        <w:t xml:space="preserve">    陈佳梅（Ami Chen）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2"/>
      </w:tblGrid>
      <w:tr w14:paraId="2D16956D">
        <w:trPr>
          <w:cantSplit/>
          <w:jc w:val="center"/>
        </w:trPr>
        <w:tc>
          <w:tcPr>
            <w:tcW w:w="9922" w:type="dxa"/>
            <w:tcBorders>
              <w:top w:val="single" w:color="D6DCE1" w:sz="2" w:space="0"/>
              <w:left w:val="single" w:color="1F4E79" w:sz="18" w:space="0"/>
              <w:bottom w:val="single" w:color="D6DCE1" w:sz="2" w:space="0"/>
              <w:right w:val="nil"/>
            </w:tcBorders>
            <w:shd w:val="clear" w:color="auto" w:fill="FFFFFF"/>
            <w:tcMar>
              <w:top w:w="125" w:type="dxa"/>
              <w:left w:w="155" w:type="dxa"/>
              <w:bottom w:w="115" w:type="dxa"/>
              <w:right w:w="135" w:type="dxa"/>
            </w:tcMar>
          </w:tcPr>
          <w:p w14:paraId="01129BBB">
            <w:pPr>
              <w:spacing w:after="80" w:line="317" w:lineRule="auto"/>
            </w:pPr>
            <w:r>
              <w:rPr>
                <w:rFonts w:ascii="Arial" w:hAnsi="Arial" w:eastAsia="Noto Sans CJK SC"/>
                <w:b/>
                <w:color w:val="1C2024"/>
                <w:sz w:val="21"/>
              </w:rPr>
              <w:t>核心观点</w:t>
            </w:r>
          </w:p>
          <w:p w14:paraId="1C0601ED">
            <w:pPr>
              <w:spacing w:after="48" w:line="317" w:lineRule="auto"/>
              <w:ind w:left="0" w:firstLine="0"/>
            </w:pPr>
            <w:r>
              <w:rPr>
                <w:rFonts w:ascii="Arial" w:hAnsi="Arial" w:eastAsia="Noto Serif CJK SC"/>
                <w:b/>
                <w:color w:val="1C2024"/>
                <w:sz w:val="19"/>
              </w:rPr>
              <w:t xml:space="preserve">• </w:t>
            </w:r>
            <w:r>
              <w:rPr>
                <w:rFonts w:ascii="Arial" w:hAnsi="Arial" w:eastAsia="Noto Serif CJK SC"/>
                <w:b/>
                <w:color w:val="1F4E79"/>
                <w:sz w:val="19"/>
              </w:rPr>
              <w:t>周度曲线继续下移，盘中波动明显放大。</w:t>
            </w:r>
            <w:r>
              <w:rPr>
                <w:rFonts w:ascii="Arial" w:hAnsi="Arial" w:eastAsia="Noto Serif CJK SC"/>
                <w:b w:val="0"/>
                <w:color w:val="1C2024"/>
                <w:sz w:val="19"/>
              </w:rPr>
              <w:t>1年、5年、10年期中债国债收益率分别下行0.37BP、0.14BP、1.25BP，30年期下行3.24BP；8月19—21日活跃券出现明显回吐。</w:t>
            </w:r>
          </w:p>
          <w:p w14:paraId="7FF1A9C2">
            <w:pPr>
              <w:spacing w:after="48" w:line="317" w:lineRule="auto"/>
              <w:ind w:left="0" w:firstLine="0"/>
            </w:pPr>
            <w:r>
              <w:rPr>
                <w:rFonts w:ascii="Arial" w:hAnsi="Arial" w:eastAsia="Noto Serif CJK SC"/>
                <w:b/>
                <w:color w:val="1C2024"/>
                <w:sz w:val="19"/>
              </w:rPr>
              <w:t xml:space="preserve">• </w:t>
            </w:r>
            <w:r>
              <w:rPr>
                <w:rFonts w:ascii="Arial" w:hAnsi="Arial" w:eastAsia="Noto Serif CJK SC"/>
                <w:b/>
                <w:color w:val="1F4E79"/>
                <w:sz w:val="19"/>
              </w:rPr>
              <w:t>后半周回吐主要由资金和交易拥挤触发。</w:t>
            </w:r>
            <w:r>
              <w:rPr>
                <w:rFonts w:ascii="Arial" w:hAnsi="Arial" w:eastAsia="Noto Serif CJK SC"/>
                <w:b w:val="0"/>
                <w:color w:val="1C2024"/>
                <w:sz w:val="19"/>
              </w:rPr>
              <w:t>前半周弱经济数据推动10年期一度下探至1.67%附近；随后DR001、DR007抬升，叠加摊余成本基金预期“抢跑后止盈”和全球长端上行，低位波动放大。</w:t>
            </w:r>
          </w:p>
          <w:p w14:paraId="73C8567D">
            <w:pPr>
              <w:spacing w:after="48" w:line="317" w:lineRule="auto"/>
              <w:ind w:left="0" w:firstLine="0"/>
            </w:pPr>
            <w:r>
              <w:rPr>
                <w:rFonts w:ascii="Arial" w:hAnsi="Arial" w:eastAsia="Noto Serif CJK SC"/>
                <w:b/>
                <w:color w:val="1C2024"/>
                <w:sz w:val="19"/>
              </w:rPr>
              <w:t xml:space="preserve">• </w:t>
            </w:r>
            <w:r>
              <w:rPr>
                <w:rFonts w:ascii="Arial" w:hAnsi="Arial" w:eastAsia="Noto Serif CJK SC"/>
                <w:b/>
                <w:color w:val="1F4E79"/>
                <w:sz w:val="19"/>
              </w:rPr>
              <w:t>中期偏多与短期不追涨并不矛盾。</w:t>
            </w:r>
            <w:r>
              <w:rPr>
                <w:rFonts w:ascii="Arial" w:hAnsi="Arial" w:eastAsia="Noto Serif CJK SC"/>
                <w:b w:val="0"/>
                <w:color w:val="1C2024"/>
                <w:sz w:val="19"/>
              </w:rPr>
              <w:t>DR007周末升至1.4314%，高于1.40%的政策利率；10年期以1.67%—1.72%为观察区间，资金偏紧时先降杠杆。</w:t>
            </w:r>
          </w:p>
        </w:tc>
      </w:tr>
    </w:tbl>
    <w:p w14:paraId="32BC1A7A">
      <w:pPr>
        <w:spacing w:after="20"/>
      </w:pPr>
    </w:p>
    <w:p w14:paraId="0FC8E750">
      <w:pPr>
        <w:keepNext/>
        <w:spacing w:before="140" w:after="70"/>
      </w:pPr>
      <w:r>
        <w:rPr>
          <w:rFonts w:ascii="Arial" w:hAnsi="Arial" w:eastAsia="Noto Sans CJK SC"/>
          <w:b/>
          <w:color w:val="1C2024"/>
          <w:sz w:val="22"/>
        </w:rPr>
        <w:t>本周主线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2480"/>
        <w:gridCol w:w="2480"/>
        <w:gridCol w:w="2480"/>
      </w:tblGrid>
      <w:tr w14:paraId="3A9787E0">
        <w:trPr>
          <w:cantSplit/>
          <w:tblHeader/>
          <w:jc w:val="center"/>
        </w:trPr>
        <w:tc>
          <w:tcPr>
            <w:tcW w:w="2466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6F50B0F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市场表现</w:t>
            </w:r>
          </w:p>
        </w:tc>
        <w:tc>
          <w:tcPr>
            <w:tcW w:w="2466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967E907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主要驱动</w:t>
            </w:r>
          </w:p>
        </w:tc>
        <w:tc>
          <w:tcPr>
            <w:tcW w:w="2466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3E401DA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定价影响</w:t>
            </w:r>
          </w:p>
        </w:tc>
        <w:tc>
          <w:tcPr>
            <w:tcW w:w="2466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9C895E3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策略建议</w:t>
            </w:r>
          </w:p>
        </w:tc>
      </w:tr>
      <w:tr w14:paraId="32E5CB91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9A434B4">
            <w:pPr>
              <w:spacing w:before="0" w:after="0" w:line="293" w:lineRule="auto"/>
            </w:pPr>
            <w:r>
              <w:rPr>
                <w:rFonts w:ascii="Arial" w:hAnsi="Arial" w:eastAsia="Noto Sans CJK SC"/>
                <w:b/>
                <w:color w:val="1F4E79"/>
                <w:sz w:val="17"/>
              </w:rPr>
              <w:t>10年和30年期周度继续下行，后半周活跃券出现回吐。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5A90DC6">
            <w:pPr>
              <w:spacing w:before="0" w:after="0" w:line="293" w:lineRule="auto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弱经济数据支撑配置；资金边际收紧、抢跑止盈和海外长端上行限制追涨。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33E65A9">
            <w:pPr>
              <w:spacing w:before="0" w:after="0" w:line="293" w:lineRule="auto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中期逻辑未破坏，交易形态由单边下行转为低位震荡。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65C6A8F">
            <w:pPr>
              <w:spacing w:before="0" w:after="0" w:line="293" w:lineRule="auto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以1.67%—1.72%为10年期观察区间；回调增持，资金偏紧时先降杠杆。</w:t>
            </w:r>
          </w:p>
        </w:tc>
      </w:tr>
    </w:tbl>
    <w:p w14:paraId="4F49E238">
      <w:pPr>
        <w:spacing w:after="20"/>
      </w:pPr>
    </w:p>
    <w:p w14:paraId="12EFDFED">
      <w:pPr>
        <w:keepNext/>
        <w:spacing w:before="140" w:after="70"/>
      </w:pPr>
      <w:r>
        <w:rPr>
          <w:rFonts w:ascii="Arial" w:hAnsi="Arial" w:eastAsia="Noto Sans CJK SC"/>
          <w:b/>
          <w:color w:val="1C2024"/>
          <w:sz w:val="22"/>
        </w:rPr>
        <w:t>关键指标（中债周度端点）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2480"/>
        <w:gridCol w:w="2480"/>
        <w:gridCol w:w="2480"/>
      </w:tblGrid>
      <w:tr w14:paraId="596F635F">
        <w:trPr>
          <w:cantSplit/>
          <w:tblHeader/>
          <w:jc w:val="center"/>
        </w:trPr>
        <w:tc>
          <w:tcPr>
            <w:tcW w:w="1757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0B252FB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指标</w:t>
            </w:r>
          </w:p>
        </w:tc>
        <w:tc>
          <w:tcPr>
            <w:tcW w:w="153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E740E98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周末水平</w:t>
            </w:r>
          </w:p>
        </w:tc>
        <w:tc>
          <w:tcPr>
            <w:tcW w:w="1417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6D24017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周变动</w:t>
            </w:r>
          </w:p>
        </w:tc>
        <w:tc>
          <w:tcPr>
            <w:tcW w:w="5159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93A1787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简要判断</w:t>
            </w:r>
          </w:p>
        </w:tc>
      </w:tr>
      <w:tr w14:paraId="7B507608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7AB2737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1年国债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607C2AD7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1.2028%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5DC66D3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-0.37BP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7FA7CB3F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短端基本稳定，政策利率锚有效</w:t>
            </w:r>
          </w:p>
        </w:tc>
      </w:tr>
      <w:tr w14:paraId="533EDBC8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F78C702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5年国债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7799C5CF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1.3921%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7AB6A6D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-0.14BP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6FB3BF3A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估值较充分，下行幅度有限</w:t>
            </w:r>
          </w:p>
        </w:tc>
      </w:tr>
      <w:tr w14:paraId="629201DE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85E8E31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10年国债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120F53A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1.6839%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DC6C358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-1.25BP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509AEFF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弱数据推动周度继续下行</w:t>
            </w:r>
          </w:p>
        </w:tc>
      </w:tr>
      <w:tr w14:paraId="5C8B17F1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0624C1A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30年国债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CAB5361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2.1320%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12FD347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-3.24BP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3FD62D0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超长端表现更强</w:t>
            </w:r>
          </w:p>
        </w:tc>
      </w:tr>
      <w:tr w14:paraId="5BD71280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1163E0E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10Y-1Y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AEACF18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48.11BP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00ACF5C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-0.88BP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DB56001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牛平延续但幅度有限</w:t>
            </w:r>
          </w:p>
        </w:tc>
      </w:tr>
      <w:tr w14:paraId="6CB908B5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D381A41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DR007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EC0A517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1.4314%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3E6E68B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+4.56BP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8937455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周末资金边际收紧</w:t>
            </w:r>
          </w:p>
        </w:tc>
      </w:tr>
    </w:tbl>
    <w:p w14:paraId="23261730">
      <w:pPr>
        <w:spacing w:after="20"/>
      </w:pPr>
    </w:p>
    <w:p w14:paraId="2A414491">
      <w:r>
        <w:br w:type="page"/>
      </w:r>
    </w:p>
    <w:p w14:paraId="02A11CC9">
      <w:pPr>
        <w:pStyle w:val="165"/>
        <w:keepNext/>
        <w:pBdr>
          <w:bottom w:val="single" w:color="AAB4BE" w:sz="6" w:space="3"/>
        </w:pBdr>
        <w:spacing w:before="200" w:after="100"/>
      </w:pPr>
      <w:r>
        <w:rPr>
          <w:rFonts w:ascii="Arial" w:hAnsi="Arial" w:eastAsia="Noto Sans CJK SC"/>
          <w:b/>
          <w:color w:val="1C2024"/>
          <w:sz w:val="26"/>
        </w:rPr>
        <w:t>一、市场表现：曲线与期限结构</w:t>
      </w:r>
    </w:p>
    <w:p w14:paraId="3AF6C3D8">
      <w:pPr>
        <w:pStyle w:val="164"/>
        <w:spacing w:before="0" w:after="84" w:line="326" w:lineRule="auto"/>
        <w:ind w:firstLine="420"/>
      </w:pPr>
      <w:r>
        <w:rPr>
          <w:rFonts w:ascii="Arial" w:hAnsi="Arial" w:eastAsia="Noto Serif CJK SC"/>
          <w:b w:val="0"/>
          <w:color w:val="1C2024"/>
          <w:sz w:val="19"/>
        </w:rPr>
        <w:t>周一至周二，7月经济数据偏弱、信用需求不足推动长端下行，10年期活跃券一度触及1.67%附近。周三以后，摊余成本基金配额预期引发抢跑，随后获利盘兑现，收益率回升。</w:t>
      </w:r>
    </w:p>
    <w:p w14:paraId="76C60A76">
      <w:pPr>
        <w:pStyle w:val="164"/>
        <w:spacing w:before="0" w:after="84" w:line="326" w:lineRule="auto"/>
        <w:ind w:firstLine="420"/>
      </w:pPr>
      <w:r>
        <w:rPr>
          <w:rFonts w:ascii="Arial" w:hAnsi="Arial" w:eastAsia="Noto Serif CJK SC"/>
          <w:b/>
          <w:color w:val="1F4E79"/>
          <w:sz w:val="19"/>
        </w:rPr>
        <w:t>周度曲线下移并不代表交易风险下降。</w:t>
      </w:r>
      <w:r>
        <w:rPr>
          <w:rFonts w:ascii="Arial" w:hAnsi="Arial" w:eastAsia="Noto Serif CJK SC"/>
          <w:b w:val="0"/>
          <w:color w:val="1C2024"/>
          <w:sz w:val="19"/>
        </w:rPr>
        <w:t>配置需求和弱基本面仍支撑中期方向，但低收益率区间的拥挤度上升，资金价格对交易盘的影响明显放大。</w:t>
      </w:r>
    </w:p>
    <w:p w14:paraId="55B0FA4A">
      <w:pPr>
        <w:spacing w:before="20" w:after="0" w:line="240" w:lineRule="auto"/>
        <w:jc w:val="center"/>
      </w:pPr>
      <w:r>
        <w:drawing>
          <wp:inline distT="0" distB="0" distL="114300" distR="114300">
            <wp:extent cx="5903595" cy="2634615"/>
            <wp:effectExtent l="0" t="0" r="1460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635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725F4">
      <w:pPr>
        <w:spacing w:before="40" w:after="20" w:line="240" w:lineRule="auto"/>
        <w:jc w:val="center"/>
      </w:pPr>
      <w:r>
        <w:rPr>
          <w:rFonts w:ascii="Arial" w:hAnsi="Arial" w:eastAsia="Noto Sans CJK SC"/>
          <w:b/>
          <w:color w:val="1C2024"/>
          <w:sz w:val="16"/>
        </w:rPr>
        <w:t>图1  1年、5年、10年国债收益率走势</w:t>
      </w:r>
    </w:p>
    <w:p w14:paraId="57386F02">
      <w:pPr>
        <w:spacing w:after="80" w:line="252" w:lineRule="auto"/>
        <w:jc w:val="center"/>
      </w:pPr>
      <w:r>
        <w:rPr>
          <w:rFonts w:ascii="Arial" w:hAnsi="Arial" w:eastAsia="Noto Sans CJK SC"/>
          <w:b w:val="0"/>
          <w:color w:val="707880"/>
          <w:sz w:val="14"/>
        </w:rPr>
        <w:t>资料来源：公开历史行情，作者整理；周度端点结论以中债收益率曲线为准。</w:t>
      </w:r>
    </w:p>
    <w:p w14:paraId="07F08AD8">
      <w:pPr>
        <w:spacing w:before="20" w:after="0" w:line="240" w:lineRule="auto"/>
        <w:jc w:val="center"/>
      </w:pPr>
      <w:r>
        <w:drawing>
          <wp:inline distT="0" distB="0" distL="114300" distR="114300">
            <wp:extent cx="5903595" cy="2392045"/>
            <wp:effectExtent l="0" t="0" r="14605" b="209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392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14B09">
      <w:pPr>
        <w:spacing w:before="40" w:after="20" w:line="240" w:lineRule="auto"/>
        <w:jc w:val="center"/>
      </w:pPr>
      <w:r>
        <w:rPr>
          <w:rFonts w:ascii="Arial" w:hAnsi="Arial" w:eastAsia="Noto Sans CJK SC"/>
          <w:b/>
          <w:color w:val="1C2024"/>
          <w:sz w:val="16"/>
        </w:rPr>
        <w:t>图2  10Y-1Y与10Y-5Y期限利差</w:t>
      </w:r>
    </w:p>
    <w:p w14:paraId="4D43B565">
      <w:pPr>
        <w:spacing w:after="80" w:line="252" w:lineRule="auto"/>
        <w:jc w:val="center"/>
      </w:pPr>
      <w:r>
        <w:rPr>
          <w:rFonts w:ascii="Arial" w:hAnsi="Arial" w:eastAsia="Noto Sans CJK SC"/>
          <w:b w:val="0"/>
          <w:color w:val="707880"/>
          <w:sz w:val="14"/>
        </w:rPr>
        <w:t>资料来源：公开历史行情，作者计算。</w:t>
      </w:r>
    </w:p>
    <w:p w14:paraId="65EFE8D0">
      <w:r>
        <w:br w:type="page"/>
      </w:r>
    </w:p>
    <w:p w14:paraId="7F7C9C8B">
      <w:pPr>
        <w:pStyle w:val="165"/>
        <w:keepNext/>
        <w:pBdr>
          <w:bottom w:val="single" w:color="AAB4BE" w:sz="6" w:space="3"/>
        </w:pBdr>
        <w:spacing w:before="200" w:after="100"/>
      </w:pPr>
      <w:r>
        <w:rPr>
          <w:rFonts w:ascii="Arial" w:hAnsi="Arial" w:eastAsia="Noto Sans CJK SC"/>
          <w:b/>
          <w:color w:val="1C2024"/>
          <w:sz w:val="26"/>
        </w:rPr>
        <w:t>二、资金情况：公开市场操作与DR利率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2480"/>
        <w:gridCol w:w="2370"/>
        <w:gridCol w:w="2590"/>
      </w:tblGrid>
      <w:tr w14:paraId="154A414D">
        <w:trPr>
          <w:cantSplit/>
          <w:tblHeader/>
          <w:jc w:val="center"/>
        </w:trPr>
        <w:tc>
          <w:tcPr>
            <w:tcW w:w="248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D315F3F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指标</w:t>
            </w:r>
          </w:p>
        </w:tc>
        <w:tc>
          <w:tcPr>
            <w:tcW w:w="248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B3514DD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周初/上周五</w:t>
            </w:r>
          </w:p>
        </w:tc>
        <w:tc>
          <w:tcPr>
            <w:tcW w:w="237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74FB948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周末/本周合计</w:t>
            </w:r>
          </w:p>
        </w:tc>
        <w:tc>
          <w:tcPr>
            <w:tcW w:w="259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51BDA47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变化或口径</w:t>
            </w:r>
          </w:p>
        </w:tc>
      </w:tr>
      <w:tr w14:paraId="0424D35F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8A59195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DR001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3445BAF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1.3611%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362F7BB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1.4385%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FCE98E1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+7.74BP</w:t>
            </w:r>
          </w:p>
        </w:tc>
      </w:tr>
      <w:tr w14:paraId="3B53E90C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B3BEAE9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DR007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33F299E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1.3858%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9F4509B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1.4314%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6A5BE2F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+4.56BP</w:t>
            </w:r>
          </w:p>
        </w:tc>
      </w:tr>
      <w:tr w14:paraId="3C6CFA11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BC9D10A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公开市场净额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E8B817C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—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7AB2125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-2,720亿元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F831BF6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按8/17—8/21全工具日度口径</w:t>
            </w:r>
          </w:p>
        </w:tc>
      </w:tr>
    </w:tbl>
    <w:p w14:paraId="30D05179">
      <w:pPr>
        <w:spacing w:after="20"/>
      </w:pPr>
    </w:p>
    <w:p w14:paraId="0CDEA9CB">
      <w:pPr>
        <w:pStyle w:val="164"/>
        <w:spacing w:before="0" w:after="84" w:line="326" w:lineRule="auto"/>
        <w:ind w:firstLine="420"/>
      </w:pPr>
      <w:r>
        <w:rPr>
          <w:rFonts w:ascii="Arial" w:hAnsi="Arial" w:eastAsia="Noto Serif CJK SC"/>
          <w:b w:val="0"/>
          <w:color w:val="1C2024"/>
          <w:sz w:val="19"/>
        </w:rPr>
        <w:t>按已披露公开市场工具合并计算，8月17—21日合计净回笼约2,720亿元。周初DR007仍在1.38%附近，8月21日升至1.4314%，DR001升至1.4385%。</w:t>
      </w:r>
    </w:p>
    <w:p w14:paraId="4B2EFE64">
      <w:pPr>
        <w:pStyle w:val="164"/>
        <w:spacing w:before="0" w:after="84" w:line="326" w:lineRule="auto"/>
        <w:ind w:firstLine="420"/>
      </w:pPr>
      <w:r>
        <w:rPr>
          <w:rFonts w:ascii="Arial" w:hAnsi="Arial" w:eastAsia="Noto Serif CJK SC"/>
          <w:b/>
          <w:color w:val="1F4E79"/>
          <w:sz w:val="19"/>
        </w:rPr>
        <w:t>资金边际收紧是后半周回吐的直接触发。</w:t>
      </w:r>
      <w:r>
        <w:rPr>
          <w:rFonts w:ascii="Arial" w:hAnsi="Arial" w:eastAsia="Noto Serif CJK SC"/>
          <w:b w:val="0"/>
          <w:color w:val="1C2024"/>
          <w:sz w:val="19"/>
        </w:rPr>
        <w:t>单日资金利率高于政策利率不代表中期流动性转向，但在10年期已接近1.68%时，会提高杠杆成本并加快浮盈兑现。</w:t>
      </w:r>
    </w:p>
    <w:p w14:paraId="6EF2E0BD">
      <w:pPr>
        <w:spacing w:before="20" w:after="0" w:line="240" w:lineRule="auto"/>
        <w:jc w:val="center"/>
      </w:pPr>
      <w:r>
        <w:drawing>
          <wp:inline distT="0" distB="0" distL="114300" distR="114300">
            <wp:extent cx="5903595" cy="2473325"/>
            <wp:effectExtent l="0" t="0" r="14605" b="158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47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5DE66">
      <w:pPr>
        <w:spacing w:before="40" w:after="20" w:line="240" w:lineRule="auto"/>
        <w:jc w:val="center"/>
      </w:pPr>
      <w:r>
        <w:rPr>
          <w:rFonts w:ascii="Arial" w:hAnsi="Arial" w:eastAsia="Noto Sans CJK SC"/>
          <w:b/>
          <w:color w:val="1C2024"/>
          <w:sz w:val="16"/>
        </w:rPr>
        <w:t>图3  DR001、DR007与7天逆回购利率</w:t>
      </w:r>
    </w:p>
    <w:p w14:paraId="413B0646">
      <w:pPr>
        <w:spacing w:after="80" w:line="252" w:lineRule="auto"/>
        <w:jc w:val="center"/>
      </w:pPr>
      <w:r>
        <w:rPr>
          <w:rFonts w:ascii="Arial" w:hAnsi="Arial" w:eastAsia="Noto Sans CJK SC"/>
          <w:b w:val="0"/>
          <w:color w:val="707880"/>
          <w:sz w:val="14"/>
        </w:rPr>
        <w:t>资料来源：中国人民银行、公开市场数据，作者整理。</w:t>
      </w:r>
    </w:p>
    <w:p w14:paraId="1F11B92F">
      <w:pPr>
        <w:spacing w:before="20" w:after="0" w:line="240" w:lineRule="auto"/>
        <w:jc w:val="center"/>
      </w:pPr>
      <w:r>
        <w:drawing>
          <wp:inline distT="0" distB="0" distL="114300" distR="114300">
            <wp:extent cx="5903595" cy="2311400"/>
            <wp:effectExtent l="0" t="0" r="146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311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9AB7B">
      <w:pPr>
        <w:spacing w:before="40" w:after="20" w:line="240" w:lineRule="auto"/>
        <w:jc w:val="center"/>
      </w:pPr>
      <w:r>
        <w:rPr>
          <w:rFonts w:ascii="Arial" w:hAnsi="Arial" w:eastAsia="Noto Sans CJK SC"/>
          <w:b/>
          <w:color w:val="1C2024"/>
          <w:sz w:val="16"/>
        </w:rPr>
        <w:t>图4  公开市场操作净投放</w:t>
      </w:r>
    </w:p>
    <w:p w14:paraId="6D1EBE62">
      <w:pPr>
        <w:spacing w:after="80" w:line="252" w:lineRule="auto"/>
        <w:jc w:val="center"/>
      </w:pPr>
      <w:r>
        <w:rPr>
          <w:rFonts w:ascii="Arial" w:hAnsi="Arial" w:eastAsia="Noto Sans CJK SC"/>
          <w:b w:val="0"/>
          <w:color w:val="707880"/>
          <w:sz w:val="14"/>
        </w:rPr>
        <w:t>资料来源：中国人民银行及公开市场信息，作者整理；净额尽量纳入7天、隔夜与买断式工具。</w:t>
      </w:r>
    </w:p>
    <w:p w14:paraId="2CFE9648">
      <w:r>
        <w:br w:type="page"/>
      </w:r>
    </w:p>
    <w:p w14:paraId="2ACD250A">
      <w:pPr>
        <w:pStyle w:val="165"/>
        <w:keepNext/>
        <w:pBdr>
          <w:bottom w:val="single" w:color="AAB4BE" w:sz="6" w:space="3"/>
        </w:pBdr>
        <w:spacing w:before="200" w:after="100"/>
      </w:pPr>
      <w:r>
        <w:rPr>
          <w:rFonts w:ascii="Arial" w:hAnsi="Arial" w:eastAsia="Noto Sans CJK SC"/>
          <w:b/>
          <w:color w:val="1C2024"/>
          <w:sz w:val="26"/>
        </w:rPr>
        <w:t>三、政策与基本面：数据、政策与海外约束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2480"/>
        <w:gridCol w:w="2480"/>
        <w:gridCol w:w="2480"/>
      </w:tblGrid>
      <w:tr w14:paraId="7A148EFE">
        <w:trPr>
          <w:cantSplit/>
          <w:tblHeader/>
          <w:jc w:val="center"/>
        </w:trPr>
        <w:tc>
          <w:tcPr>
            <w:tcW w:w="153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13E3758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日期</w:t>
            </w:r>
          </w:p>
        </w:tc>
        <w:tc>
          <w:tcPr>
            <w:tcW w:w="170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5BC50E5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政策/数据</w:t>
            </w:r>
          </w:p>
        </w:tc>
        <w:tc>
          <w:tcPr>
            <w:tcW w:w="3288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2D127DB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事实结果</w:t>
            </w:r>
          </w:p>
        </w:tc>
        <w:tc>
          <w:tcPr>
            <w:tcW w:w="3344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AD7CA4C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债市含义</w:t>
            </w:r>
          </w:p>
        </w:tc>
      </w:tr>
      <w:tr w14:paraId="47FDF05F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1AC05B1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8月17日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EB64CA5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7月经济数据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A748F82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规模以上工业增加值同比+4.5%，社会消费品零售总额同比+1.2%。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0FC2328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生产和内需增速放缓，推动10年期一度下探至1.67%附近。</w:t>
            </w:r>
          </w:p>
        </w:tc>
      </w:tr>
      <w:tr w14:paraId="018B6412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0988713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8月19日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338179E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20年国债招标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3F06D79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招标利率2.0991%，全场倍数10.47。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F2BBFFD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一级需求较强，配置盘仍有承接，但不能消除二级止盈波动。</w:t>
            </w:r>
          </w:p>
        </w:tc>
      </w:tr>
      <w:tr w14:paraId="6517BE0D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4528757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8月20日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7FC87F22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LPR报价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9B26355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1年期3.00%、5年期以上3.50%，均维持不变。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4CC5D46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符合预期，对债市直接影响有限，关注点转向资金工具和增量政策。</w:t>
            </w:r>
          </w:p>
        </w:tc>
      </w:tr>
      <w:tr w14:paraId="080A3A93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AF06018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8月21日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F5BE02E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2年与5年国债招标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787AD244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招标利率分别为1.2088%和1.3544%，全场倍数3.30和3.28。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B56420A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中短端一级需求尚可，但周末资金上行压制二级情绪。</w:t>
            </w:r>
          </w:p>
        </w:tc>
      </w:tr>
    </w:tbl>
    <w:p w14:paraId="65D4525E">
      <w:pPr>
        <w:spacing w:after="20"/>
      </w:pPr>
    </w:p>
    <w:p w14:paraId="53A25DF0">
      <w:pPr>
        <w:pStyle w:val="166"/>
        <w:keepNext/>
        <w:spacing w:before="140" w:after="70"/>
      </w:pPr>
      <w:r>
        <w:rPr>
          <w:rFonts w:ascii="Arial" w:hAnsi="Arial" w:eastAsia="Noto Sans CJK SC"/>
          <w:b/>
          <w:color w:val="1C2024"/>
          <w:sz w:val="22"/>
        </w:rPr>
        <w:t>海外：全球长端抬升超长债波动</w:t>
      </w:r>
    </w:p>
    <w:p w14:paraId="0740C0FF">
      <w:pPr>
        <w:pStyle w:val="164"/>
        <w:spacing w:before="0" w:after="84" w:line="326" w:lineRule="auto"/>
        <w:ind w:firstLine="420"/>
      </w:pPr>
      <w:r>
        <w:rPr>
          <w:rFonts w:ascii="Arial" w:hAnsi="Arial" w:eastAsia="Noto Serif CJK SC"/>
          <w:b w:val="0"/>
          <w:color w:val="1C2024"/>
          <w:sz w:val="19"/>
        </w:rPr>
        <w:t>美国、日本和欧洲超长期国债收益率普遍上行，油价、财政赤字和长期供给风险抬升期限溢价。国内10年期同期仍一度下探，说明国内信用需求和配置供需仍是方向主因；海外因素更多影响汇率约束、超长端波动和追涨空间。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2"/>
      </w:tblGrid>
      <w:tr w14:paraId="18CEF2CA">
        <w:trPr>
          <w:cantSplit/>
          <w:jc w:val="center"/>
        </w:trPr>
        <w:tc>
          <w:tcPr>
            <w:tcW w:w="9922" w:type="dxa"/>
            <w:tcBorders>
              <w:top w:val="single" w:color="D6DCE1" w:sz="2" w:space="0"/>
              <w:left w:val="single" w:color="1F4E79" w:sz="16" w:space="0"/>
              <w:bottom w:val="single" w:color="D6DCE1" w:sz="2" w:space="0"/>
              <w:right w:val="nil"/>
            </w:tcBorders>
            <w:shd w:val="clear" w:color="auto" w:fill="FFFFFF"/>
            <w:tcMar>
              <w:top w:w="115" w:type="dxa"/>
              <w:left w:w="145" w:type="dxa"/>
              <w:bottom w:w="110" w:type="dxa"/>
              <w:right w:w="130" w:type="dxa"/>
            </w:tcMar>
          </w:tcPr>
          <w:p w14:paraId="33CD51D6">
            <w:pPr>
              <w:spacing w:after="60" w:line="312" w:lineRule="auto"/>
            </w:pPr>
            <w:r>
              <w:rPr>
                <w:rFonts w:ascii="Arial" w:hAnsi="Arial" w:eastAsia="Noto Sans CJK SC"/>
                <w:b/>
                <w:color w:val="1C2024"/>
                <w:sz w:val="20"/>
              </w:rPr>
              <w:t>政策判断</w:t>
            </w:r>
          </w:p>
          <w:p w14:paraId="58994184">
            <w:pPr>
              <w:spacing w:after="0" w:line="312" w:lineRule="auto"/>
            </w:pPr>
            <w:r>
              <w:rPr>
                <w:rFonts w:ascii="Arial" w:hAnsi="Arial" w:eastAsia="Noto Serif CJK SC"/>
                <w:b/>
                <w:color w:val="1F4E79"/>
                <w:sz w:val="18"/>
              </w:rPr>
              <w:t>LPR持平符合预期，增量信息主要来自公开市场操作和资金价格。</w:t>
            </w:r>
            <w:r>
              <w:rPr>
                <w:rFonts w:ascii="Arial" w:hAnsi="Arial" w:eastAsia="Noto Serif CJK SC"/>
                <w:b w:val="0"/>
                <w:color w:val="1C2024"/>
                <w:sz w:val="18"/>
              </w:rPr>
              <w:t>货币政策基调未转，但短端重新靠近政策利率，低位债市对资金扰动更敏感。</w:t>
            </w:r>
          </w:p>
        </w:tc>
      </w:tr>
    </w:tbl>
    <w:p w14:paraId="42F845C2">
      <w:pPr>
        <w:spacing w:after="20"/>
      </w:pPr>
    </w:p>
    <w:p w14:paraId="1806FE72">
      <w:pPr>
        <w:pStyle w:val="165"/>
        <w:keepNext/>
        <w:pBdr>
          <w:bottom w:val="single" w:color="AAB4BE" w:sz="6" w:space="3"/>
        </w:pBdr>
        <w:spacing w:before="200" w:after="100"/>
      </w:pPr>
      <w:r>
        <w:rPr>
          <w:rFonts w:ascii="Arial" w:hAnsi="Arial" w:eastAsia="Noto Sans CJK SC"/>
          <w:b/>
          <w:color w:val="1C2024"/>
          <w:sz w:val="26"/>
        </w:rPr>
        <w:t>四、供求面与信用市场：一级承接、利差与结构</w:t>
      </w:r>
    </w:p>
    <w:p w14:paraId="7DDBF3E2">
      <w:pPr>
        <w:pStyle w:val="166"/>
        <w:keepNext/>
        <w:spacing w:before="140" w:after="70"/>
      </w:pPr>
      <w:r>
        <w:rPr>
          <w:rFonts w:ascii="Arial" w:hAnsi="Arial" w:eastAsia="Noto Sans CJK SC"/>
          <w:b/>
          <w:color w:val="1C2024"/>
          <w:sz w:val="22"/>
        </w:rPr>
        <w:t>利率债供给：招标需求仍强，周度总量待后续核验</w:t>
      </w:r>
    </w:p>
    <w:p w14:paraId="4BD5D5C4">
      <w:pPr>
        <w:pStyle w:val="164"/>
        <w:spacing w:before="0" w:after="84" w:line="326" w:lineRule="auto"/>
        <w:ind w:firstLine="420"/>
      </w:pPr>
      <w:r>
        <w:rPr>
          <w:rFonts w:ascii="Arial" w:hAnsi="Arial" w:eastAsia="Noto Serif CJK SC"/>
          <w:b w:val="0"/>
          <w:color w:val="1C2024"/>
          <w:sz w:val="19"/>
        </w:rPr>
        <w:t>截至报告编制时，本周全市场利率债发行、到期与净融资数据尚未完整披露。已公布招标结果显示，20年国债全场倍数10.47，2年和5年国债全场倍数分别为3.30和3.28，一级承接仍然稳健。</w:t>
      </w:r>
    </w:p>
    <w:p w14:paraId="7D35A783">
      <w:pPr>
        <w:pStyle w:val="166"/>
        <w:keepNext/>
        <w:spacing w:before="140" w:after="70"/>
      </w:pPr>
      <w:r>
        <w:rPr>
          <w:rFonts w:ascii="Arial" w:hAnsi="Arial" w:eastAsia="Noto Sans CJK SC"/>
          <w:b/>
          <w:color w:val="1C2024"/>
          <w:sz w:val="22"/>
        </w:rPr>
        <w:t>信用市场：绝对利差偏低，更强调流动性和主体甄别</w:t>
      </w:r>
    </w:p>
    <w:p w14:paraId="64E5F6E7">
      <w:pPr>
        <w:pStyle w:val="164"/>
        <w:spacing w:before="0" w:after="84" w:line="326" w:lineRule="auto"/>
        <w:ind w:firstLine="420"/>
      </w:pPr>
      <w:r>
        <w:rPr>
          <w:rFonts w:ascii="Arial" w:hAnsi="Arial" w:eastAsia="Noto Serif CJK SC"/>
          <w:b w:val="0"/>
          <w:color w:val="1C2024"/>
          <w:sz w:val="19"/>
        </w:rPr>
        <w:t>截至报告编制时，本周全市场信用债发行与到期数据尚未完整披露，因此不列示未经核验的规模。已知配置预期仍主要支撑5年左右高等级信用债。</w:t>
      </w:r>
    </w:p>
    <w:p w14:paraId="15209537">
      <w:pPr>
        <w:pStyle w:val="164"/>
        <w:spacing w:before="0" w:after="84" w:line="326" w:lineRule="auto"/>
        <w:ind w:firstLine="420"/>
      </w:pPr>
      <w:r>
        <w:rPr>
          <w:rFonts w:ascii="Arial" w:hAnsi="Arial" w:eastAsia="Noto Serif CJK SC"/>
          <w:b w:val="0"/>
          <w:color w:val="1C2024"/>
          <w:sz w:val="19"/>
        </w:rPr>
        <w:t>截至8月21日，AAA商业银行普通债相对国债信用利差约20—29BP，AAA中短期票据约33—41BP，其中3年和10年中票补偿相对较高。A级中短票1年收益率约6.55%，等级分化仍然明显。</w:t>
      </w:r>
    </w:p>
    <w:p w14:paraId="67EA542D">
      <w:pPr>
        <w:spacing w:before="20" w:after="0" w:line="240" w:lineRule="auto"/>
        <w:jc w:val="center"/>
      </w:pPr>
      <w:r>
        <w:drawing>
          <wp:inline distT="0" distB="0" distL="114300" distR="114300">
            <wp:extent cx="5903595" cy="2553970"/>
            <wp:effectExtent l="0" t="0" r="14605" b="1143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554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4D296">
      <w:pPr>
        <w:spacing w:before="40" w:after="20" w:line="240" w:lineRule="auto"/>
        <w:jc w:val="center"/>
      </w:pPr>
      <w:r>
        <w:rPr>
          <w:rFonts w:ascii="Arial" w:hAnsi="Arial" w:eastAsia="Noto Sans CJK SC"/>
          <w:b/>
          <w:color w:val="1C2024"/>
          <w:sz w:val="16"/>
        </w:rPr>
        <w:t>图5  8月21日AAA信用债相对国债期限利差</w:t>
      </w:r>
    </w:p>
    <w:p w14:paraId="562146DC">
      <w:pPr>
        <w:spacing w:after="80" w:line="252" w:lineRule="auto"/>
        <w:jc w:val="center"/>
      </w:pPr>
      <w:r>
        <w:rPr>
          <w:rFonts w:ascii="Arial" w:hAnsi="Arial" w:eastAsia="Noto Sans CJK SC"/>
          <w:b w:val="0"/>
          <w:color w:val="707880"/>
          <w:sz w:val="14"/>
        </w:rPr>
        <w:t>资料来源：中债收益率曲线，作者计算。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1984"/>
        <w:gridCol w:w="1984"/>
        <w:gridCol w:w="1984"/>
        <w:gridCol w:w="1984"/>
      </w:tblGrid>
      <w:tr w14:paraId="0CDB506E">
        <w:trPr>
          <w:cantSplit/>
          <w:tblHeader/>
          <w:jc w:val="center"/>
        </w:trPr>
        <w:tc>
          <w:tcPr>
            <w:tcW w:w="170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172A73B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品种</w:t>
            </w:r>
          </w:p>
        </w:tc>
        <w:tc>
          <w:tcPr>
            <w:tcW w:w="1587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81DDAD1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日期</w:t>
            </w:r>
          </w:p>
        </w:tc>
        <w:tc>
          <w:tcPr>
            <w:tcW w:w="1814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5D2551B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招标利率</w:t>
            </w:r>
          </w:p>
        </w:tc>
        <w:tc>
          <w:tcPr>
            <w:tcW w:w="170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6B853C1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全场倍数</w:t>
            </w:r>
          </w:p>
        </w:tc>
        <w:tc>
          <w:tcPr>
            <w:tcW w:w="3061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630A42D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解读</w:t>
            </w:r>
          </w:p>
        </w:tc>
      </w:tr>
      <w:tr w14:paraId="73F8ED80">
        <w:trPr>
          <w:cantSplit/>
          <w:jc w:val="center"/>
        </w:trPr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0C8D0AC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20年国债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B349B2D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8月19日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0665F51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2.0991%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907859E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10.47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F2CBF97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需求较强</w:t>
            </w:r>
          </w:p>
        </w:tc>
      </w:tr>
      <w:tr w14:paraId="495DC7F4">
        <w:trPr>
          <w:cantSplit/>
          <w:jc w:val="center"/>
        </w:trPr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9F40BA7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2年国债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4540202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8月21日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1E5BBEC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1.2088%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E056A87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3.30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9177099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中短端承接尚可</w:t>
            </w:r>
          </w:p>
        </w:tc>
      </w:tr>
      <w:tr w14:paraId="0ABF81C3">
        <w:trPr>
          <w:cantSplit/>
          <w:jc w:val="center"/>
        </w:trPr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78341E0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5年国债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B3CC90F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8月21日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1B70144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1.3544%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A454B96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3.28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FC92BB3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中段配置需求稳定</w:t>
            </w:r>
          </w:p>
        </w:tc>
      </w:tr>
    </w:tbl>
    <w:p w14:paraId="508445D5">
      <w:pPr>
        <w:spacing w:after="20"/>
      </w:pPr>
    </w:p>
    <w:p w14:paraId="19EE8589">
      <w:pPr>
        <w:pStyle w:val="165"/>
        <w:keepNext/>
        <w:pBdr>
          <w:bottom w:val="single" w:color="AAB4BE" w:sz="6" w:space="3"/>
        </w:pBdr>
        <w:spacing w:before="200" w:after="100"/>
      </w:pPr>
      <w:r>
        <w:rPr>
          <w:rFonts w:ascii="Arial" w:hAnsi="Arial" w:eastAsia="Noto Sans CJK SC"/>
          <w:b/>
          <w:color w:val="1C2024"/>
          <w:sz w:val="26"/>
        </w:rPr>
        <w:t>五、交易日复盘：盘面、驱动与关注</w:t>
      </w:r>
    </w:p>
    <w:p w14:paraId="169E0547">
      <w:pPr>
        <w:pStyle w:val="164"/>
        <w:spacing w:before="0" w:after="84" w:line="326" w:lineRule="auto"/>
        <w:ind w:firstLine="0"/>
      </w:pPr>
      <w:r>
        <w:rPr>
          <w:rFonts w:ascii="Arial" w:hAnsi="Arial" w:eastAsia="Noto Serif CJK SC"/>
          <w:b w:val="0"/>
          <w:color w:val="1C2024"/>
          <w:sz w:val="19"/>
        </w:rPr>
        <w:t>以下按交易日梳理盘面变化、主要驱动和次日关注。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2480"/>
        <w:gridCol w:w="2480"/>
        <w:gridCol w:w="2480"/>
      </w:tblGrid>
      <w:tr w14:paraId="1748B060">
        <w:trPr>
          <w:cantSplit/>
          <w:tblHeader/>
          <w:jc w:val="center"/>
        </w:trPr>
        <w:tc>
          <w:tcPr>
            <w:tcW w:w="1133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D57C932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日期</w:t>
            </w:r>
          </w:p>
        </w:tc>
        <w:tc>
          <w:tcPr>
            <w:tcW w:w="2267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1C58AAB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盘面</w:t>
            </w:r>
          </w:p>
        </w:tc>
        <w:tc>
          <w:tcPr>
            <w:tcW w:w="3911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D2E31CB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主要驱动</w:t>
            </w:r>
          </w:p>
        </w:tc>
        <w:tc>
          <w:tcPr>
            <w:tcW w:w="2551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3895F74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次日关注</w:t>
            </w:r>
          </w:p>
        </w:tc>
      </w:tr>
      <w:tr w14:paraId="4D5F6681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EE259DC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8月17日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6DFB5888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10Y约1.68%，超长端略承压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ED7C811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金融数据偏弱支撑利率，新老券切换及超长端供给影响相对表现。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2D93963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经济数据持续定价、税期资金</w:t>
            </w:r>
          </w:p>
        </w:tc>
      </w:tr>
      <w:tr w14:paraId="13DF4AED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E41D9EF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8月18日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3C040C8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债市全面走强，10Y约1.667%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5691840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工业和消费增速放缓，信用需求不足逻辑强化，长端与超长端同步受益。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7AC6A756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是否出现止盈、海外长债波动</w:t>
            </w:r>
          </w:p>
        </w:tc>
      </w:tr>
      <w:tr w14:paraId="67ABF168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67C0397B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8月19日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F8FF395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先强后弱，收益率回升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4475414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摊余成本基金配额消息触发抢跑，随后获利回吐；20年国债招标需求强。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40B93EA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LPR、资金价格与配债预期兑现</w:t>
            </w:r>
          </w:p>
        </w:tc>
      </w:tr>
      <w:tr w14:paraId="492B3B9E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70E2F2E0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8月20日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BC3E843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债市偏弱，LPR影响有限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2222406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LPR不变符合预期；OMO净回笼、低位止盈和全球长端上行压制情绪。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62081BC0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7天逆回购是否恢复、周末资金</w:t>
            </w:r>
          </w:p>
        </w:tc>
      </w:tr>
      <w:tr w14:paraId="7BF362AB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7ECBFDC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8月21日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6F9AAFAC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资金转紧，10Y活跃券约1.6865%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D061145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央行恢复950亿元7天逆回购，但DR001、DR007上行，前期浮盈兑现延续。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1A29B3B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下周到期、政府债供给、海外油价与长债</w:t>
            </w:r>
          </w:p>
        </w:tc>
      </w:tr>
    </w:tbl>
    <w:p w14:paraId="6881F141">
      <w:pPr>
        <w:spacing w:after="20"/>
      </w:pPr>
    </w:p>
    <w:p w14:paraId="038C890A">
      <w:pPr>
        <w:pStyle w:val="165"/>
        <w:keepNext/>
        <w:pBdr>
          <w:bottom w:val="single" w:color="AAB4BE" w:sz="6" w:space="3"/>
        </w:pBdr>
        <w:spacing w:before="200" w:after="100"/>
      </w:pPr>
      <w:r>
        <w:rPr>
          <w:rFonts w:ascii="Arial" w:hAnsi="Arial" w:eastAsia="Noto Sans CJK SC"/>
          <w:b/>
          <w:color w:val="1C2024"/>
          <w:sz w:val="26"/>
        </w:rPr>
        <w:t>六、策略总结与后市展望</w:t>
      </w:r>
    </w:p>
    <w:p w14:paraId="3E8106D4">
      <w:pPr>
        <w:pStyle w:val="166"/>
        <w:keepNext/>
        <w:spacing w:before="140" w:after="70"/>
      </w:pPr>
      <w:r>
        <w:rPr>
          <w:rFonts w:ascii="Arial" w:hAnsi="Arial" w:eastAsia="Noto Sans CJK SC"/>
          <w:b/>
          <w:color w:val="1C2024"/>
          <w:sz w:val="22"/>
        </w:rPr>
        <w:t>分账户策略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7"/>
        <w:gridCol w:w="3307"/>
        <w:gridCol w:w="3307"/>
      </w:tblGrid>
      <w:tr w14:paraId="313BCE0A">
        <w:trPr>
          <w:cantSplit/>
          <w:tblHeader/>
          <w:jc w:val="center"/>
        </w:trPr>
        <w:tc>
          <w:tcPr>
            <w:tcW w:w="170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86C922A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账户类型</w:t>
            </w:r>
          </w:p>
        </w:tc>
        <w:tc>
          <w:tcPr>
            <w:tcW w:w="4648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B340B16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配置与操作</w:t>
            </w:r>
          </w:p>
        </w:tc>
        <w:tc>
          <w:tcPr>
            <w:tcW w:w="3514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C52FBF5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风险控制</w:t>
            </w:r>
          </w:p>
        </w:tc>
      </w:tr>
      <w:tr w14:paraId="37EE5E02">
        <w:trPr>
          <w:cantSplit/>
          <w:jc w:val="center"/>
        </w:trPr>
        <w:tc>
          <w:tcPr>
            <w:tcW w:w="330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DC70B06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交易盘</w:t>
            </w:r>
          </w:p>
        </w:tc>
        <w:tc>
          <w:tcPr>
            <w:tcW w:w="330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2E8EBC8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以1.67%—1.72%为10年期基准区间，回调增持，快速下行后主动止盈。</w:t>
            </w:r>
          </w:p>
        </w:tc>
        <w:tc>
          <w:tcPr>
            <w:tcW w:w="330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90332EA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DR007持续高于1.40%且海外长端继续上行时，先降杠杆。</w:t>
            </w:r>
          </w:p>
        </w:tc>
      </w:tr>
      <w:tr w14:paraId="73565B79">
        <w:trPr>
          <w:cantSplit/>
          <w:jc w:val="center"/>
        </w:trPr>
        <w:tc>
          <w:tcPr>
            <w:tcW w:w="330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5533E45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配置盘</w:t>
            </w:r>
          </w:p>
        </w:tc>
        <w:tc>
          <w:tcPr>
            <w:tcW w:w="330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04E511E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5—10年期保持核心仓位；超长端参与利差压缩，但降低单券集中度。</w:t>
            </w:r>
          </w:p>
        </w:tc>
        <w:tc>
          <w:tcPr>
            <w:tcW w:w="330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72F4184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关注政府债供给前置、保险和理财配置节奏变化。</w:t>
            </w:r>
          </w:p>
        </w:tc>
      </w:tr>
      <w:tr w14:paraId="025011CF">
        <w:trPr>
          <w:cantSplit/>
          <w:jc w:val="center"/>
        </w:trPr>
        <w:tc>
          <w:tcPr>
            <w:tcW w:w="330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0954F9D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信用账户</w:t>
            </w:r>
          </w:p>
        </w:tc>
        <w:tc>
          <w:tcPr>
            <w:tcW w:w="330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2A4F738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优先高流动性主体和有新券定价优势的品种；关注3年、10年中票相对补偿。</w:t>
            </w:r>
          </w:p>
        </w:tc>
        <w:tc>
          <w:tcPr>
            <w:tcW w:w="330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168E971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AAA利差绝对水平偏低，避免为了票息无差别下沉。</w:t>
            </w:r>
          </w:p>
        </w:tc>
      </w:tr>
    </w:tbl>
    <w:p w14:paraId="44566D9C">
      <w:pPr>
        <w:spacing w:after="20"/>
      </w:pPr>
    </w:p>
    <w:p w14:paraId="2A912C26">
      <w:pPr>
        <w:spacing w:after="20"/>
      </w:pPr>
      <w:bookmarkStart w:id="0" w:name="_GoBack"/>
      <w:bookmarkEnd w:id="0"/>
    </w:p>
    <w:p w14:paraId="1E0354C3">
      <w:pPr>
        <w:pStyle w:val="166"/>
        <w:keepNext/>
        <w:spacing w:before="140" w:after="70"/>
      </w:pPr>
      <w:r>
        <w:rPr>
          <w:rFonts w:ascii="Arial" w:hAnsi="Arial" w:eastAsia="Noto Sans CJK SC"/>
          <w:b/>
          <w:color w:val="1C2024"/>
          <w:sz w:val="22"/>
        </w:rPr>
        <w:t>后续重点关注</w:t>
      </w:r>
    </w:p>
    <w:p w14:paraId="4E564E3C">
      <w:pPr>
        <w:pStyle w:val="164"/>
        <w:spacing w:after="50" w:line="317" w:lineRule="auto"/>
        <w:ind w:left="283" w:hanging="198"/>
      </w:pPr>
      <w:r>
        <w:rPr>
          <w:rFonts w:ascii="Arial" w:hAnsi="Arial" w:eastAsia="Noto Serif CJK SC"/>
          <w:b w:val="0"/>
          <w:color w:val="1C2024"/>
          <w:sz w:val="19"/>
        </w:rPr>
        <w:t>• 公开市场到期、央行续作方式与DR007能否回落至1.40%附近</w:t>
      </w:r>
    </w:p>
    <w:p w14:paraId="78C6D005">
      <w:pPr>
        <w:pStyle w:val="164"/>
        <w:spacing w:after="50" w:line="317" w:lineRule="auto"/>
        <w:ind w:left="283" w:hanging="198"/>
      </w:pPr>
      <w:r>
        <w:rPr>
          <w:rFonts w:ascii="Arial" w:hAnsi="Arial" w:eastAsia="Noto Serif CJK SC"/>
          <w:b w:val="0"/>
          <w:color w:val="1C2024"/>
          <w:sz w:val="19"/>
        </w:rPr>
        <w:t>• 政府债发行缴款节奏及摊余成本基金配置预期兑现</w:t>
      </w:r>
    </w:p>
    <w:p w14:paraId="3332945C">
      <w:pPr>
        <w:pStyle w:val="164"/>
        <w:spacing w:after="50" w:line="317" w:lineRule="auto"/>
        <w:ind w:left="283" w:hanging="198"/>
      </w:pPr>
      <w:r>
        <w:rPr>
          <w:rFonts w:ascii="Arial" w:hAnsi="Arial" w:eastAsia="Noto Serif CJK SC"/>
          <w:b w:val="0"/>
          <w:color w:val="1C2024"/>
          <w:sz w:val="19"/>
        </w:rPr>
        <w:t>• 海外油价、美元和超长期国债收益率</w:t>
      </w:r>
    </w:p>
    <w:p w14:paraId="582485AE">
      <w:pPr>
        <w:spacing w:before="60" w:after="80" w:line="252" w:lineRule="auto"/>
        <w:jc w:val="left"/>
      </w:pPr>
      <w:r>
        <w:rPr>
          <w:rFonts w:ascii="Arial" w:hAnsi="Arial" w:eastAsia="Noto Sans CJK SC"/>
          <w:b w:val="0"/>
          <w:color w:val="707880"/>
          <w:sz w:val="14"/>
        </w:rPr>
        <w:t>数据口径：周度端点以中债日终曲线为准，日度行情仅用于观察交易节奏。报告基于公开资料整理，仅用于学习与研究展示。</w:t>
      </w:r>
    </w:p>
    <w:sectPr>
      <w:headerReference r:id="rId5" w:type="default"/>
      <w:footerReference r:id="rId6" w:type="default"/>
      <w:pgSz w:w="11906" w:h="16838"/>
      <w:pgMar w:top="879" w:right="935" w:bottom="822" w:left="935" w:header="312" w:footer="255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erif CJK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Noto Sans CJK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8ECA0F">
    <w:pPr>
      <w:pStyle w:val="24"/>
      <w:spacing w:after="0"/>
    </w:pPr>
  </w:p>
  <w:tbl>
    <w:tblPr>
      <w:tblStyle w:val="32"/>
      <w:tblW w:w="0" w:type="auto"/>
      <w:jc w:val="center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4961"/>
      <w:gridCol w:w="4961"/>
    </w:tblGrid>
    <w:tr w14:paraId="0B8CAAFC">
      <w:trPr>
        <w:jc w:val="center"/>
      </w:trPr>
      <w:tc>
        <w:tcPr>
          <w:tcW w:w="7766" w:type="dxa"/>
          <w:tcBorders>
            <w:top w:val="single" w:color="D6DCE1" w:sz="2" w:space="0"/>
            <w:left w:val="nil"/>
            <w:bottom w:val="nil"/>
            <w:right w:val="nil"/>
          </w:tcBorders>
          <w:shd w:val="clear" w:color="auto" w:fill="FFFFFF"/>
          <w:tcMar>
            <w:top w:w="55" w:type="dxa"/>
            <w:left w:w="0" w:type="dxa"/>
            <w:bottom w:w="0" w:type="dxa"/>
            <w:right w:w="0" w:type="dxa"/>
          </w:tcMar>
        </w:tcPr>
        <w:p w14:paraId="156581AF">
          <w:pPr>
            <w:spacing w:after="0"/>
            <w:jc w:val="left"/>
          </w:pPr>
          <w:r>
            <w:rPr>
              <w:rFonts w:ascii="Arial" w:hAnsi="Arial" w:eastAsia="Noto Sans CJK SC"/>
              <w:b w:val="0"/>
              <w:color w:val="707880"/>
              <w:sz w:val="14"/>
            </w:rPr>
            <w:t>陈佳梅（Ami Chen）｜上海财经大学财税投资学院</w:t>
          </w:r>
        </w:p>
      </w:tc>
      <w:tc>
        <w:tcPr>
          <w:tcW w:w="2154" w:type="dxa"/>
          <w:tcBorders>
            <w:top w:val="single" w:color="D6DCE1" w:sz="2" w:space="0"/>
            <w:left w:val="nil"/>
            <w:bottom w:val="nil"/>
            <w:right w:val="nil"/>
          </w:tcBorders>
          <w:shd w:val="clear" w:color="auto" w:fill="FFFFFF"/>
          <w:tcMar>
            <w:top w:w="55" w:type="dxa"/>
            <w:left w:w="0" w:type="dxa"/>
            <w:bottom w:w="0" w:type="dxa"/>
            <w:right w:w="0" w:type="dxa"/>
          </w:tcMar>
        </w:tcPr>
        <w:p w14:paraId="06BE4225">
          <w:pPr>
            <w:spacing w:after="0"/>
            <w:jc w:val="right"/>
          </w:pPr>
          <w:r>
            <w:rPr>
              <w:rFonts w:ascii="Arial" w:hAnsi="Arial" w:eastAsia="Noto Sans CJK SC"/>
              <w:b w:val="0"/>
              <w:color w:val="707880"/>
              <w:sz w:val="14"/>
            </w:rPr>
            <w:t xml:space="preserve">第 </w:t>
          </w:r>
          <w:r>
            <w:rPr>
              <w:rFonts w:ascii="Arial" w:hAnsi="Arial" w:eastAsia="Noto Sans CJK SC"/>
              <w:b w:val="0"/>
              <w:color w:val="707880"/>
              <w:sz w:val="14"/>
            </w:rPr>
            <w:fldChar w:fldCharType="begin"/>
          </w:r>
          <w:r>
            <w:rPr>
              <w:rFonts w:ascii="Arial" w:hAnsi="Arial" w:eastAsia="Noto Sans CJK SC"/>
              <w:b w:val="0"/>
              <w:color w:val="707880"/>
              <w:sz w:val="14"/>
            </w:rPr>
            <w:instrText xml:space="preserve"> PAGE </w:instrText>
          </w:r>
          <w:r>
            <w:rPr>
              <w:rFonts w:ascii="Arial" w:hAnsi="Arial" w:eastAsia="Noto Sans CJK SC"/>
              <w:b w:val="0"/>
              <w:color w:val="707880"/>
              <w:sz w:val="14"/>
            </w:rPr>
            <w:fldChar w:fldCharType="end"/>
          </w:r>
          <w:r>
            <w:rPr>
              <w:rFonts w:ascii="Arial" w:hAnsi="Arial" w:eastAsia="Noto Sans CJK SC"/>
              <w:b w:val="0"/>
              <w:color w:val="707880"/>
              <w:sz w:val="14"/>
            </w:rPr>
            <w:t xml:space="preserve"> 页</w:t>
          </w:r>
        </w:p>
      </w:tc>
    </w:tr>
  </w:tbl>
  <w:p w14:paraId="21B2CF8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26" w:lineRule="auto"/>
      </w:pPr>
      <w:r>
        <w:separator/>
      </w:r>
    </w:p>
  </w:footnote>
  <w:footnote w:type="continuationSeparator" w:id="1">
    <w:p>
      <w:pPr>
        <w:spacing w:before="0" w:after="0" w:line="32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2CFE9">
    <w:pPr>
      <w:pStyle w:val="25"/>
      <w:pBdr>
        <w:bottom w:val="single" w:color="D6DCE1" w:sz="4" w:space="3"/>
      </w:pBdr>
      <w:spacing w:after="0"/>
      <w:jc w:val="left"/>
    </w:pPr>
    <w:r>
      <w:rPr>
        <w:rFonts w:ascii="Arial" w:hAnsi="Arial" w:eastAsia="Noto Sans CJK SC"/>
        <w:b/>
        <w:color w:val="4A525A"/>
        <w:sz w:val="15"/>
      </w:rPr>
      <w:t>上海财经大学财税投资学院｜固定收益研究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FF529E0"/>
    <w:rsid w:val="6EFF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84" w:line="326" w:lineRule="auto"/>
    </w:pPr>
    <w:rPr>
      <w:rFonts w:ascii="Arial" w:hAnsi="Arial" w:eastAsia="Noto Serif CJK SC" w:cstheme="minorBidi"/>
      <w:sz w:val="19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正文1"/>
    <w:uiPriority w:val="0"/>
    <w:pPr>
      <w:widowControl/>
      <w:spacing w:after="84" w:line="326" w:lineRule="auto"/>
    </w:pPr>
    <w:rPr>
      <w:rFonts w:ascii="Arial" w:hAnsi="Arial" w:eastAsia="Noto Serif CJK SC" w:cstheme="minorBidi"/>
      <w:sz w:val="19"/>
      <w:szCs w:val="22"/>
      <w:lang w:val="en-US" w:eastAsia="en-US" w:bidi="ar-SA"/>
    </w:rPr>
  </w:style>
  <w:style w:type="paragraph" w:customStyle="1" w:styleId="165">
    <w:name w:val="标题 11"/>
    <w:uiPriority w:val="0"/>
    <w:pPr>
      <w:keepNext/>
      <w:widowControl/>
      <w:spacing w:before="160" w:after="100" w:line="276" w:lineRule="auto"/>
    </w:pPr>
    <w:rPr>
      <w:rFonts w:ascii="Arial" w:hAnsi="Arial" w:eastAsia="Noto Sans CJK SC" w:cstheme="minorBidi"/>
      <w:b/>
      <w:color w:val="1C2024"/>
      <w:sz w:val="26"/>
      <w:szCs w:val="22"/>
      <w:lang w:val="en-US" w:eastAsia="en-US" w:bidi="ar-SA"/>
    </w:rPr>
  </w:style>
  <w:style w:type="paragraph" w:customStyle="1" w:styleId="166">
    <w:name w:val="标题 21"/>
    <w:uiPriority w:val="0"/>
    <w:pPr>
      <w:keepNext/>
      <w:widowControl/>
      <w:spacing w:before="100" w:after="60" w:line="276" w:lineRule="auto"/>
    </w:pPr>
    <w:rPr>
      <w:rFonts w:ascii="Arial" w:hAnsi="Arial" w:eastAsia="Noto Sans CJK SC" w:cstheme="minorBidi"/>
      <w:b/>
      <w:color w:val="1C2024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陈佳梅（Ami Chen）</dc:creator>
  <dc:description>generated by python-docx</dc:description>
  <cp:keywords>债券市场, 固定收益, 债市周报, 上海财经大学财税投资学院</cp:keywords>
  <cp:lastModifiedBy>夏一帧</cp:lastModifiedBy>
  <dcterms:modified xsi:type="dcterms:W3CDTF">2026-08-23T13:03:19Z</dcterms:modified>
  <dc:subject>债市周报｜上海财经大学财税投资学院</dc:subject>
  <dc:title>弱数据推动收益率下探，资金收紧放大低位波动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C397389EBD60D39A507E8A6A18FDE5C7_42</vt:lpwstr>
  </property>
</Properties>
</file>