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6"/>
        <w:gridCol w:w="5086"/>
      </w:tblGrid>
      <w:tr w14:paraId="089121CB">
        <w:trPr>
          <w:jc w:val="center"/>
        </w:trPr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357176">
            <w:pPr>
              <w:jc w:val="left"/>
            </w:pPr>
          </w:p>
        </w:tc>
        <w:tc>
          <w:tcPr>
            <w:tcW w:w="5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268DF4">
            <w:pPr>
              <w:spacing w:after="20"/>
              <w:jc w:val="right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固定收益研究｜债市跟踪项目</w:t>
            </w:r>
          </w:p>
          <w:p w14:paraId="7E3748E7">
            <w:pPr>
              <w:spacing w:after="0"/>
              <w:jc w:val="right"/>
            </w:pPr>
            <w:r>
              <w:rPr>
                <w:rFonts w:ascii="Arial" w:hAnsi="Arial" w:eastAsia="Noto Sans CJK SC"/>
                <w:b w:val="0"/>
                <w:color w:val="707880"/>
                <w:sz w:val="15"/>
              </w:rPr>
              <w:t>数据区间：2026年8月10日—8月14日  ｜  编制日期：2026年8月23日</w:t>
            </w:r>
          </w:p>
        </w:tc>
      </w:tr>
    </w:tbl>
    <w:p w14:paraId="29CD376C">
      <w:pPr>
        <w:keepNext/>
        <w:spacing w:before="180" w:after="140" w:line="307" w:lineRule="auto"/>
        <w:jc w:val="left"/>
      </w:pPr>
      <w:r>
        <w:rPr>
          <w:rFonts w:ascii="Arial" w:hAnsi="Arial" w:eastAsia="Noto Sans CJK SC"/>
          <w:b/>
          <w:color w:val="1C2024"/>
          <w:sz w:val="41"/>
        </w:rPr>
        <w:t>政策呵护与弱信用共振，10年国债下破1.70%</w:t>
      </w:r>
    </w:p>
    <w:p w14:paraId="02275DB2">
      <w:pPr>
        <w:keepNext/>
        <w:pBdr>
          <w:bottom w:val="single" w:color="AAB4BE" w:sz="6" w:space="3"/>
        </w:pBdr>
        <w:spacing w:before="0" w:after="140" w:line="307" w:lineRule="auto"/>
      </w:pPr>
      <w:r>
        <w:rPr>
          <w:rFonts w:ascii="Arial" w:hAnsi="Arial" w:eastAsia="Noto Sans CJK SC"/>
          <w:b/>
          <w:color w:val="1C2024"/>
          <w:sz w:val="21"/>
        </w:rPr>
        <w:t>第二周债市周报｜2026年8月10日—8月14日</w:t>
      </w:r>
      <w:r>
        <w:rPr>
          <w:rFonts w:ascii="Arial" w:hAnsi="Arial" w:eastAsia="Noto Sans CJK SC"/>
          <w:b w:val="0"/>
          <w:color w:val="707880"/>
          <w:sz w:val="18"/>
        </w:rPr>
        <w:t xml:space="preserve">    陈佳梅（Ami Chen）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2"/>
      </w:tblGrid>
      <w:tr w14:paraId="59480C17">
        <w:trPr>
          <w:cantSplit/>
          <w:jc w:val="center"/>
        </w:trPr>
        <w:tc>
          <w:tcPr>
            <w:tcW w:w="9922" w:type="dxa"/>
            <w:tcBorders>
              <w:top w:val="single" w:color="D6DCE1" w:sz="2" w:space="0"/>
              <w:left w:val="single" w:color="1F4E79" w:sz="18" w:space="0"/>
              <w:bottom w:val="single" w:color="D6DCE1" w:sz="2" w:space="0"/>
              <w:right w:val="nil"/>
            </w:tcBorders>
            <w:shd w:val="clear" w:color="auto" w:fill="FFFFFF"/>
            <w:tcMar>
              <w:top w:w="125" w:type="dxa"/>
              <w:left w:w="155" w:type="dxa"/>
              <w:bottom w:w="115" w:type="dxa"/>
              <w:right w:w="135" w:type="dxa"/>
            </w:tcMar>
          </w:tcPr>
          <w:p w14:paraId="08064DA9">
            <w:pPr>
              <w:spacing w:after="80" w:line="317" w:lineRule="auto"/>
            </w:pPr>
            <w:r>
              <w:rPr>
                <w:rFonts w:ascii="Arial" w:hAnsi="Arial" w:eastAsia="Noto Sans CJK SC"/>
                <w:b/>
                <w:color w:val="1C2024"/>
                <w:sz w:val="21"/>
              </w:rPr>
              <w:t>核心观点</w:t>
            </w:r>
          </w:p>
          <w:p w14:paraId="5D6ACA7F">
            <w:pPr>
              <w:spacing w:after="48" w:line="317" w:lineRule="auto"/>
              <w:ind w:left="0" w:firstLine="0"/>
            </w:pPr>
            <w:r>
              <w:rPr>
                <w:rFonts w:ascii="Arial" w:hAnsi="Arial" w:eastAsia="Noto Serif CJK SC"/>
                <w:b/>
                <w:color w:val="1C2024"/>
                <w:sz w:val="19"/>
              </w:rPr>
              <w:t xml:space="preserve">• </w:t>
            </w:r>
            <w:r>
              <w:rPr>
                <w:rFonts w:ascii="Arial" w:hAnsi="Arial" w:eastAsia="Noto Serif CJK SC"/>
                <w:b/>
                <w:color w:val="1F4E79"/>
                <w:sz w:val="19"/>
              </w:rPr>
              <w:t>中长端继续走强。</w:t>
            </w:r>
            <w:r>
              <w:rPr>
                <w:rFonts w:ascii="Arial" w:hAnsi="Arial" w:eastAsia="Noto Serif CJK SC"/>
                <w:b w:val="0"/>
                <w:color w:val="1C2024"/>
                <w:sz w:val="19"/>
              </w:rPr>
              <w:t>较上周五，1年期国债收益率基本持平，5年、10年期分别下行1.38BP和1.50BP，10年期降至1.6964%，10Y-1Y再收窄1.72BP。</w:t>
            </w:r>
          </w:p>
          <w:p w14:paraId="3A9FEB11">
            <w:pPr>
              <w:spacing w:after="48" w:line="317" w:lineRule="auto"/>
              <w:ind w:left="0" w:firstLine="0"/>
            </w:pPr>
            <w:r>
              <w:rPr>
                <w:rFonts w:ascii="Arial" w:hAnsi="Arial" w:eastAsia="Noto Serif CJK SC"/>
                <w:b/>
                <w:color w:val="1C2024"/>
                <w:sz w:val="19"/>
              </w:rPr>
              <w:t xml:space="preserve">• </w:t>
            </w:r>
            <w:r>
              <w:rPr>
                <w:rFonts w:ascii="Arial" w:hAnsi="Arial" w:eastAsia="Noto Serif CJK SC"/>
                <w:b/>
                <w:color w:val="1F4E79"/>
                <w:sz w:val="19"/>
              </w:rPr>
              <w:t>央行通过多期限工具平抑税期波动。</w:t>
            </w:r>
            <w:r>
              <w:rPr>
                <w:rFonts w:ascii="Arial" w:hAnsi="Arial" w:eastAsia="Noto Serif CJK SC"/>
                <w:b w:val="0"/>
                <w:color w:val="1C2024"/>
                <w:sz w:val="19"/>
              </w:rPr>
              <w:t>周中7天逆回购零操作一度触发止盈，随后1万亿元买断式逆回购等量续作并开展3,490亿元隔夜逆回购，税期尾部风险明显下降。</w:t>
            </w:r>
          </w:p>
          <w:p w14:paraId="75D84E4E">
            <w:pPr>
              <w:spacing w:after="48" w:line="317" w:lineRule="auto"/>
              <w:ind w:left="0" w:firstLine="0"/>
            </w:pPr>
            <w:r>
              <w:rPr>
                <w:rFonts w:ascii="Arial" w:hAnsi="Arial" w:eastAsia="Noto Serif CJK SC"/>
                <w:b/>
                <w:color w:val="1C2024"/>
                <w:sz w:val="19"/>
              </w:rPr>
              <w:t xml:space="preserve">• </w:t>
            </w:r>
            <w:r>
              <w:rPr>
                <w:rFonts w:ascii="Arial" w:hAnsi="Arial" w:eastAsia="Noto Serif CJK SC"/>
                <w:b/>
                <w:color w:val="1F4E79"/>
                <w:sz w:val="19"/>
              </w:rPr>
              <w:t>久期逻辑仍在，但低位拥挤度上升。</w:t>
            </w:r>
            <w:r>
              <w:rPr>
                <w:rFonts w:ascii="Arial" w:hAnsi="Arial" w:eastAsia="Noto Serif CJK SC"/>
                <w:b w:val="0"/>
                <w:color w:val="1C2024"/>
                <w:sz w:val="19"/>
              </w:rPr>
              <w:t>7月社融总量由政府债融资支撑，新增人民币贷款为-3,400亿元，居民和企业信用需求偏弱；操作上以回调加仓为主。</w:t>
            </w:r>
          </w:p>
        </w:tc>
      </w:tr>
    </w:tbl>
    <w:p w14:paraId="46EC47C7">
      <w:pPr>
        <w:spacing w:after="20"/>
      </w:pPr>
    </w:p>
    <w:p w14:paraId="4588F734">
      <w:pPr>
        <w:keepNext/>
        <w:spacing w:before="140" w:after="70"/>
      </w:pPr>
      <w:r>
        <w:rPr>
          <w:rFonts w:ascii="Arial" w:hAnsi="Arial" w:eastAsia="Noto Sans CJK SC"/>
          <w:b/>
          <w:color w:val="1C2024"/>
          <w:sz w:val="22"/>
        </w:rPr>
        <w:t>本周主线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0"/>
        <w:gridCol w:w="2480"/>
        <w:gridCol w:w="2480"/>
        <w:gridCol w:w="2480"/>
      </w:tblGrid>
      <w:tr w14:paraId="37BF9C52">
        <w:trPr>
          <w:cantSplit/>
          <w:tblHeader/>
          <w:jc w:val="center"/>
        </w:trPr>
        <w:tc>
          <w:tcPr>
            <w:tcW w:w="2466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88C2C3E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市场表现</w:t>
            </w:r>
          </w:p>
        </w:tc>
        <w:tc>
          <w:tcPr>
            <w:tcW w:w="2466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88B4692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主要驱动</w:t>
            </w:r>
          </w:p>
        </w:tc>
        <w:tc>
          <w:tcPr>
            <w:tcW w:w="2466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776447E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定价影响</w:t>
            </w:r>
          </w:p>
        </w:tc>
        <w:tc>
          <w:tcPr>
            <w:tcW w:w="2466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4E13D5F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策略建议</w:t>
            </w:r>
          </w:p>
        </w:tc>
      </w:tr>
      <w:tr w14:paraId="5A2F8DD5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6D80ED0">
            <w:pPr>
              <w:spacing w:before="0" w:after="0" w:line="293" w:lineRule="auto"/>
            </w:pPr>
            <w:r>
              <w:rPr>
                <w:rFonts w:ascii="Arial" w:hAnsi="Arial" w:eastAsia="Noto Sans CJK SC"/>
                <w:b/>
                <w:color w:val="1F4E79"/>
                <w:sz w:val="17"/>
              </w:rPr>
              <w:t>10年期下破1.70%，5—10年期表现继续优于短端。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FC052B8">
            <w:pPr>
              <w:spacing w:before="0" w:after="0" w:line="293" w:lineRule="auto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货政报告确认宽松基调，多期限工具稳定资金，金融数据反映信用需求偏弱。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4202BBC">
            <w:pPr>
              <w:spacing w:before="0" w:after="0" w:line="293" w:lineRule="auto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中长端配置逻辑增强，但低收益率区间对止盈和资金扰动更敏感。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8AB766E">
            <w:pPr>
              <w:spacing w:before="0" w:after="0" w:line="293" w:lineRule="auto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维持核心久期，回调增持5—10年；超长端控制仓位和追价。</w:t>
            </w:r>
          </w:p>
        </w:tc>
      </w:tr>
    </w:tbl>
    <w:p w14:paraId="0F56A619">
      <w:pPr>
        <w:spacing w:after="20"/>
      </w:pPr>
    </w:p>
    <w:p w14:paraId="765DADCB">
      <w:pPr>
        <w:keepNext/>
        <w:spacing w:before="140" w:after="70"/>
      </w:pPr>
      <w:r>
        <w:rPr>
          <w:rFonts w:ascii="Arial" w:hAnsi="Arial" w:eastAsia="Noto Sans CJK SC"/>
          <w:b/>
          <w:color w:val="1C2024"/>
          <w:sz w:val="22"/>
        </w:rPr>
        <w:t>关键指标（中债周度端点）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0"/>
        <w:gridCol w:w="2480"/>
        <w:gridCol w:w="2480"/>
        <w:gridCol w:w="2480"/>
      </w:tblGrid>
      <w:tr w14:paraId="7AE74B05">
        <w:trPr>
          <w:cantSplit/>
          <w:tblHeader/>
          <w:jc w:val="center"/>
        </w:trPr>
        <w:tc>
          <w:tcPr>
            <w:tcW w:w="1757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3B669489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指标</w:t>
            </w:r>
          </w:p>
        </w:tc>
        <w:tc>
          <w:tcPr>
            <w:tcW w:w="1530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3266540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周末水平</w:t>
            </w:r>
          </w:p>
        </w:tc>
        <w:tc>
          <w:tcPr>
            <w:tcW w:w="1417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437E8E0D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周变动</w:t>
            </w:r>
          </w:p>
        </w:tc>
        <w:tc>
          <w:tcPr>
            <w:tcW w:w="5159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645EB28E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简要判断</w:t>
            </w:r>
          </w:p>
        </w:tc>
      </w:tr>
      <w:tr w14:paraId="197010FF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B4074D5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1年国债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626D77BE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1.2065%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E325CC5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+0.22BP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4C04AFDF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政策利率锚与短端供给约束仍在</w:t>
            </w:r>
          </w:p>
        </w:tc>
      </w:tr>
      <w:tr w14:paraId="67337BAB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34BB2F6E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5年国债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7C36FA1B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1.3935%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F0F9062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-1.38BP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41AE13C6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骑乘收益较优，机构需求稳定</w:t>
            </w:r>
          </w:p>
        </w:tc>
      </w:tr>
      <w:tr w14:paraId="4B937F6A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D096E83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10年国债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44FD1780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1.6964%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01F6FF70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-1.50BP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C8B684C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宽松确认与弱信用需求共振</w:t>
            </w:r>
          </w:p>
        </w:tc>
      </w:tr>
      <w:tr w14:paraId="4C62E4D5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48BACD66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10Y-1Y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FB79B83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48.99BP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07040D81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-1.72BP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591FAF8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平坦化延续但速度放缓</w:t>
            </w:r>
          </w:p>
        </w:tc>
      </w:tr>
      <w:tr w14:paraId="5478DED1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C354BA0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10Y-5Y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C314444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30.29BP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4B5802F3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-0.12BP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73383EFE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中长段斜率小幅压缩</w:t>
            </w:r>
          </w:p>
        </w:tc>
      </w:tr>
      <w:tr w14:paraId="47D95A8C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53D96A9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DR007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07D42177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1.3858%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05EDB246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-0.23BP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3C31BD35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税期扰动被对冲</w:t>
            </w:r>
          </w:p>
        </w:tc>
      </w:tr>
    </w:tbl>
    <w:p w14:paraId="57EE5FEE">
      <w:pPr>
        <w:spacing w:after="20"/>
      </w:pPr>
    </w:p>
    <w:p w14:paraId="5E45968E">
      <w:r>
        <w:br w:type="page"/>
      </w:r>
    </w:p>
    <w:p w14:paraId="4F768E7C">
      <w:pPr>
        <w:pStyle w:val="165"/>
        <w:keepNext/>
        <w:pBdr>
          <w:bottom w:val="single" w:color="AAB4BE" w:sz="6" w:space="3"/>
        </w:pBdr>
        <w:spacing w:before="200" w:after="100"/>
      </w:pPr>
      <w:r>
        <w:rPr>
          <w:rFonts w:ascii="Arial" w:hAnsi="Arial" w:eastAsia="Noto Sans CJK SC"/>
          <w:b/>
          <w:color w:val="1C2024"/>
          <w:sz w:val="26"/>
        </w:rPr>
        <w:t>一、市场表现：曲线与期限结构</w:t>
      </w:r>
    </w:p>
    <w:p w14:paraId="28C4F29F">
      <w:pPr>
        <w:pStyle w:val="164"/>
        <w:spacing w:before="0" w:after="84" w:line="326" w:lineRule="auto"/>
        <w:ind w:firstLine="420"/>
      </w:pPr>
      <w:r>
        <w:rPr>
          <w:rFonts w:ascii="Arial" w:hAnsi="Arial" w:eastAsia="Noto Serif CJK SC"/>
          <w:b w:val="0"/>
          <w:color w:val="1C2024"/>
          <w:sz w:val="19"/>
        </w:rPr>
        <w:t>周一物价数据公布后长端先行走强；周二至周三，7天逆回购零操作、50年国债供给和获利盘兑现带来调整；周四至周五，隔夜逆回购安排、买断式续作以及金融数据偏弱推动10年期下破1.70%。</w:t>
      </w:r>
    </w:p>
    <w:p w14:paraId="6F5B5947">
      <w:pPr>
        <w:pStyle w:val="164"/>
        <w:spacing w:before="0" w:after="84" w:line="326" w:lineRule="auto"/>
        <w:ind w:firstLine="420"/>
      </w:pPr>
      <w:r>
        <w:rPr>
          <w:rFonts w:ascii="Arial" w:hAnsi="Arial" w:eastAsia="Noto Serif CJK SC"/>
          <w:b/>
          <w:color w:val="1F4E79"/>
          <w:sz w:val="19"/>
        </w:rPr>
        <w:t>牛平仍在延续，但交易难度已经上升。</w:t>
      </w:r>
      <w:r>
        <w:rPr>
          <w:rFonts w:ascii="Arial" w:hAnsi="Arial" w:eastAsia="Noto Serif CJK SC"/>
          <w:b w:val="0"/>
          <w:color w:val="1C2024"/>
          <w:sz w:val="19"/>
        </w:rPr>
        <w:t>10Y-1Y压缩幅度较第一周放缓，说明“宽松但不泛滥”的政策框架已有较多定价，后续收益更依赖点位、券种选择和持仓结构。</w:t>
      </w:r>
    </w:p>
    <w:p w14:paraId="6C0D442C">
      <w:pPr>
        <w:spacing w:before="20" w:after="0" w:line="240" w:lineRule="auto"/>
        <w:jc w:val="center"/>
      </w:pPr>
      <w:r>
        <w:drawing>
          <wp:inline distT="0" distB="0" distL="114300" distR="114300">
            <wp:extent cx="5903595" cy="2634615"/>
            <wp:effectExtent l="0" t="0" r="1460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635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9BF7D">
      <w:pPr>
        <w:spacing w:before="40" w:after="20" w:line="240" w:lineRule="auto"/>
        <w:jc w:val="center"/>
      </w:pPr>
      <w:r>
        <w:rPr>
          <w:rFonts w:ascii="Arial" w:hAnsi="Arial" w:eastAsia="Noto Sans CJK SC"/>
          <w:b/>
          <w:color w:val="1C2024"/>
          <w:sz w:val="16"/>
        </w:rPr>
        <w:t>图1  1年、5年、10年国债收益率走势</w:t>
      </w:r>
    </w:p>
    <w:p w14:paraId="42B73FBB">
      <w:pPr>
        <w:spacing w:after="80" w:line="252" w:lineRule="auto"/>
        <w:jc w:val="center"/>
      </w:pPr>
      <w:r>
        <w:rPr>
          <w:rFonts w:ascii="Arial" w:hAnsi="Arial" w:eastAsia="Noto Sans CJK SC"/>
          <w:b w:val="0"/>
          <w:color w:val="707880"/>
          <w:sz w:val="14"/>
        </w:rPr>
        <w:t>资料来源：公开历史行情，作者整理；周度端点结论以中债收益率曲线为准。</w:t>
      </w:r>
    </w:p>
    <w:p w14:paraId="6402D5E7">
      <w:pPr>
        <w:spacing w:before="20" w:after="0" w:line="240" w:lineRule="auto"/>
        <w:jc w:val="center"/>
      </w:pPr>
      <w:r>
        <w:drawing>
          <wp:inline distT="0" distB="0" distL="114300" distR="114300">
            <wp:extent cx="5903595" cy="2392045"/>
            <wp:effectExtent l="0" t="0" r="14605" b="209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392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E80BA">
      <w:pPr>
        <w:spacing w:before="40" w:after="20" w:line="240" w:lineRule="auto"/>
        <w:jc w:val="center"/>
      </w:pPr>
      <w:r>
        <w:rPr>
          <w:rFonts w:ascii="Arial" w:hAnsi="Arial" w:eastAsia="Noto Sans CJK SC"/>
          <w:b/>
          <w:color w:val="1C2024"/>
          <w:sz w:val="16"/>
        </w:rPr>
        <w:t>图2  10Y-1Y与10Y-5Y期限利差</w:t>
      </w:r>
    </w:p>
    <w:p w14:paraId="3960A632">
      <w:pPr>
        <w:spacing w:after="80" w:line="252" w:lineRule="auto"/>
        <w:jc w:val="center"/>
      </w:pPr>
      <w:r>
        <w:rPr>
          <w:rFonts w:ascii="Arial" w:hAnsi="Arial" w:eastAsia="Noto Sans CJK SC"/>
          <w:b w:val="0"/>
          <w:color w:val="707880"/>
          <w:sz w:val="14"/>
        </w:rPr>
        <w:t>资料来源：公开历史行情，作者计算。</w:t>
      </w:r>
    </w:p>
    <w:p w14:paraId="69B73D10">
      <w:r>
        <w:br w:type="page"/>
      </w:r>
    </w:p>
    <w:p w14:paraId="61E5497A">
      <w:pPr>
        <w:pStyle w:val="165"/>
        <w:keepNext/>
        <w:pBdr>
          <w:bottom w:val="single" w:color="AAB4BE" w:sz="6" w:space="3"/>
        </w:pBdr>
        <w:spacing w:before="200" w:after="100"/>
      </w:pPr>
      <w:r>
        <w:rPr>
          <w:rFonts w:ascii="Arial" w:hAnsi="Arial" w:eastAsia="Noto Sans CJK SC"/>
          <w:b/>
          <w:color w:val="1C2024"/>
          <w:sz w:val="26"/>
        </w:rPr>
        <w:t>二、资金情况：公开市场操作与DR利率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0"/>
        <w:gridCol w:w="2480"/>
        <w:gridCol w:w="2369"/>
        <w:gridCol w:w="2591"/>
      </w:tblGrid>
      <w:tr w14:paraId="5A0FFE09">
        <w:trPr>
          <w:cantSplit/>
          <w:tblHeader/>
          <w:jc w:val="center"/>
        </w:trPr>
        <w:tc>
          <w:tcPr>
            <w:tcW w:w="2480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0C41E5C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指标</w:t>
            </w:r>
          </w:p>
        </w:tc>
        <w:tc>
          <w:tcPr>
            <w:tcW w:w="2480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7D995E5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周初/上周五</w:t>
            </w:r>
          </w:p>
        </w:tc>
        <w:tc>
          <w:tcPr>
            <w:tcW w:w="2369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63FBA14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周末/本周合计</w:t>
            </w:r>
          </w:p>
        </w:tc>
        <w:tc>
          <w:tcPr>
            <w:tcW w:w="2591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DB6EA47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变化或口径</w:t>
            </w:r>
          </w:p>
        </w:tc>
      </w:tr>
      <w:tr w14:paraId="3BDA7286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EBFF673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DR001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9887E1F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1.3618%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A73AE6D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1.3611%</w:t>
            </w:r>
          </w:p>
        </w:tc>
        <w:tc>
          <w:tcPr>
            <w:tcW w:w="2591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D239704">
            <w:pPr>
              <w:spacing w:before="0" w:after="0" w:line="29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-0.07BP</w:t>
            </w:r>
          </w:p>
        </w:tc>
      </w:tr>
      <w:tr w14:paraId="56F57013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4F1EF82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DR007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80D377A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1.3881%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07E7BC2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1.3858%</w:t>
            </w:r>
          </w:p>
        </w:tc>
        <w:tc>
          <w:tcPr>
            <w:tcW w:w="2591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42E1ED9">
            <w:pPr>
              <w:spacing w:before="0" w:after="0" w:line="29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-0.23BP</w:t>
            </w:r>
          </w:p>
        </w:tc>
      </w:tr>
      <w:tr w14:paraId="3636C5F3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E9A75CA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公开市场净额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A40D64C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—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0392D65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+2,505亿元</w:t>
            </w:r>
          </w:p>
        </w:tc>
        <w:tc>
          <w:tcPr>
            <w:tcW w:w="2591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211B1B5">
            <w:pPr>
              <w:spacing w:before="0" w:after="0" w:line="29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按8/10—8/14全工具日度口径</w:t>
            </w:r>
          </w:p>
        </w:tc>
      </w:tr>
    </w:tbl>
    <w:p w14:paraId="63170ACF">
      <w:pPr>
        <w:spacing w:after="20"/>
      </w:pPr>
    </w:p>
    <w:p w14:paraId="5D19C6C9">
      <w:pPr>
        <w:pStyle w:val="164"/>
        <w:spacing w:before="0" w:after="84" w:line="326" w:lineRule="auto"/>
        <w:ind w:firstLine="420"/>
      </w:pPr>
      <w:r>
        <w:rPr>
          <w:rFonts w:ascii="Arial" w:hAnsi="Arial" w:eastAsia="Noto Serif CJK SC"/>
          <w:b w:val="0"/>
          <w:color w:val="1C2024"/>
          <w:sz w:val="19"/>
        </w:rPr>
        <w:t>本周公开市场操作由周初偏谨慎转向税期前精准对冲。按已披露工具合并计算，8月10—14日净投放约2,505亿元；8月14日1万亿元买断式逆回购等量续作，并开展3,490亿元隔夜逆回购。</w:t>
      </w:r>
    </w:p>
    <w:p w14:paraId="6D155504">
      <w:pPr>
        <w:pStyle w:val="164"/>
        <w:spacing w:before="0" w:after="84" w:line="326" w:lineRule="auto"/>
        <w:ind w:firstLine="420"/>
      </w:pPr>
      <w:r>
        <w:rPr>
          <w:rFonts w:ascii="Arial" w:hAnsi="Arial" w:eastAsia="Noto Serif CJK SC"/>
          <w:b/>
          <w:color w:val="1F4E79"/>
          <w:sz w:val="19"/>
        </w:rPr>
        <w:t>资金价格整体稳定。</w:t>
      </w:r>
      <w:r>
        <w:rPr>
          <w:rFonts w:ascii="Arial" w:hAnsi="Arial" w:eastAsia="Noto Serif CJK SC"/>
          <w:b w:val="0"/>
          <w:color w:val="1C2024"/>
          <w:sz w:val="19"/>
        </w:rPr>
        <w:t>DR001、DR007周末分别为1.3611%和1.3858%，与上周接近。央行操作更接近削峰填谷，而非总量式宽松。</w:t>
      </w:r>
    </w:p>
    <w:p w14:paraId="6B6DAE11">
      <w:pPr>
        <w:spacing w:before="20" w:after="0" w:line="240" w:lineRule="auto"/>
        <w:jc w:val="center"/>
      </w:pPr>
      <w:r>
        <w:drawing>
          <wp:inline distT="0" distB="0" distL="114300" distR="114300">
            <wp:extent cx="5903595" cy="2473325"/>
            <wp:effectExtent l="0" t="0" r="14605" b="158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47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C5636">
      <w:pPr>
        <w:spacing w:before="40" w:after="20" w:line="240" w:lineRule="auto"/>
        <w:jc w:val="center"/>
      </w:pPr>
      <w:r>
        <w:rPr>
          <w:rFonts w:ascii="Arial" w:hAnsi="Arial" w:eastAsia="Noto Sans CJK SC"/>
          <w:b/>
          <w:color w:val="1C2024"/>
          <w:sz w:val="16"/>
        </w:rPr>
        <w:t>图3  DR001、DR007与7天逆回购利率</w:t>
      </w:r>
    </w:p>
    <w:p w14:paraId="292CB128">
      <w:pPr>
        <w:spacing w:after="80" w:line="252" w:lineRule="auto"/>
        <w:jc w:val="center"/>
      </w:pPr>
      <w:r>
        <w:rPr>
          <w:rFonts w:ascii="Arial" w:hAnsi="Arial" w:eastAsia="Noto Sans CJK SC"/>
          <w:b w:val="0"/>
          <w:color w:val="707880"/>
          <w:sz w:val="14"/>
        </w:rPr>
        <w:t>资料来源：中国人民银行、公开市场数据，作者整理。</w:t>
      </w:r>
    </w:p>
    <w:p w14:paraId="2B0E5B07">
      <w:pPr>
        <w:spacing w:before="20" w:after="0" w:line="240" w:lineRule="auto"/>
        <w:jc w:val="center"/>
      </w:pPr>
      <w:r>
        <w:drawing>
          <wp:inline distT="0" distB="0" distL="114300" distR="114300">
            <wp:extent cx="5903595" cy="2311400"/>
            <wp:effectExtent l="0" t="0" r="146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311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A183F">
      <w:pPr>
        <w:spacing w:before="40" w:after="20" w:line="240" w:lineRule="auto"/>
        <w:jc w:val="center"/>
      </w:pPr>
      <w:r>
        <w:rPr>
          <w:rFonts w:ascii="Arial" w:hAnsi="Arial" w:eastAsia="Noto Sans CJK SC"/>
          <w:b/>
          <w:color w:val="1C2024"/>
          <w:sz w:val="16"/>
        </w:rPr>
        <w:t>图4  公开市场操作净投放</w:t>
      </w:r>
    </w:p>
    <w:p w14:paraId="35585F5D">
      <w:pPr>
        <w:spacing w:after="80" w:line="252" w:lineRule="auto"/>
        <w:jc w:val="center"/>
      </w:pPr>
      <w:r>
        <w:rPr>
          <w:rFonts w:ascii="Arial" w:hAnsi="Arial" w:eastAsia="Noto Sans CJK SC"/>
          <w:b w:val="0"/>
          <w:color w:val="707880"/>
          <w:sz w:val="14"/>
        </w:rPr>
        <w:t>资料来源：中国人民银行及公开市场信息，作者整理；净额尽量纳入7天、隔夜与买断式工具。</w:t>
      </w:r>
    </w:p>
    <w:p w14:paraId="06E3514C">
      <w:r>
        <w:br w:type="page"/>
      </w:r>
    </w:p>
    <w:p w14:paraId="73E62AB3">
      <w:pPr>
        <w:pStyle w:val="165"/>
        <w:keepNext/>
        <w:pBdr>
          <w:bottom w:val="single" w:color="AAB4BE" w:sz="6" w:space="3"/>
        </w:pBdr>
        <w:spacing w:before="200" w:after="100"/>
      </w:pPr>
      <w:r>
        <w:rPr>
          <w:rFonts w:ascii="Arial" w:hAnsi="Arial" w:eastAsia="Noto Sans CJK SC"/>
          <w:b/>
          <w:color w:val="1C2024"/>
          <w:sz w:val="26"/>
        </w:rPr>
        <w:t>三、政策与基本面：数据、政策与海外约束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0"/>
        <w:gridCol w:w="2480"/>
        <w:gridCol w:w="2480"/>
        <w:gridCol w:w="2480"/>
      </w:tblGrid>
      <w:tr w14:paraId="175EE302">
        <w:trPr>
          <w:cantSplit/>
          <w:tblHeader/>
          <w:jc w:val="center"/>
        </w:trPr>
        <w:tc>
          <w:tcPr>
            <w:tcW w:w="1530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6868B0F9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日期</w:t>
            </w:r>
          </w:p>
        </w:tc>
        <w:tc>
          <w:tcPr>
            <w:tcW w:w="1700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6345186A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政策/数据</w:t>
            </w:r>
          </w:p>
        </w:tc>
        <w:tc>
          <w:tcPr>
            <w:tcW w:w="3288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7201C9C7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事实结果</w:t>
            </w:r>
          </w:p>
        </w:tc>
        <w:tc>
          <w:tcPr>
            <w:tcW w:w="3344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17AAD6A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债市含义</w:t>
            </w:r>
          </w:p>
        </w:tc>
      </w:tr>
      <w:tr w14:paraId="2EECB55D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66FCF937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8月9日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754DA1C4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7月物价数据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600282E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CPI同比+0.5%、环比-0.1%，核心CPI同比+0.9%；PPI同比+3.5%、环比-0.7%。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4B9BA085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价格修复仍不均衡，PPI环比回落强化实际利率偏高与需求偏弱的讨论。</w:t>
            </w:r>
          </w:p>
        </w:tc>
      </w:tr>
      <w:tr w14:paraId="0A92C9C9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97FAB97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8月12日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E1AB3A7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二季度货币政策执行报告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8C07BB2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延续“适度宽松”，强调保持流动性充裕、促进物价合理回升，并完善短期流动性调节。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081674B9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宽松基调得到确认，但更强调精准和灵活，不等同于立即降息。</w:t>
            </w:r>
          </w:p>
        </w:tc>
      </w:tr>
      <w:tr w14:paraId="292C8334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6079A70E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8月13—14日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892A4ED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多期限流动性工具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D21181A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宣布启用隔夜逆回购；1万亿元买断式逆回购等量续作，隔夜逆回购投放3,490亿元。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4564ACFF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显著降低税期尾部风险，支撑中长端。</w:t>
            </w:r>
          </w:p>
        </w:tc>
      </w:tr>
      <w:tr w14:paraId="617F6674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352473B3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8月14日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7F53E05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7月金融数据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07369838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社融增量1.40万亿元，新增人民币贷款-3,400亿元，M2同比7.7%，M1同比4.0%。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47C44D54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政府债支撑总量，居民和企业信用需求偏弱，利好长端配置逻辑。</w:t>
            </w:r>
          </w:p>
        </w:tc>
      </w:tr>
    </w:tbl>
    <w:p w14:paraId="30B0B7C9">
      <w:pPr>
        <w:spacing w:after="20"/>
      </w:pPr>
    </w:p>
    <w:p w14:paraId="0010D6AF">
      <w:pPr>
        <w:pStyle w:val="166"/>
        <w:keepNext/>
        <w:spacing w:before="140" w:after="70"/>
      </w:pPr>
      <w:r>
        <w:rPr>
          <w:rFonts w:ascii="Arial" w:hAnsi="Arial" w:eastAsia="Noto Sans CJK SC"/>
          <w:b/>
          <w:color w:val="1C2024"/>
          <w:sz w:val="22"/>
        </w:rPr>
        <w:t>海外：外部波动未改变国内定价主线</w:t>
      </w:r>
    </w:p>
    <w:p w14:paraId="27B16B23">
      <w:pPr>
        <w:pStyle w:val="164"/>
        <w:spacing w:before="0" w:after="84" w:line="326" w:lineRule="auto"/>
        <w:ind w:firstLine="420"/>
      </w:pPr>
      <w:r>
        <w:rPr>
          <w:rFonts w:ascii="Arial" w:hAnsi="Arial" w:eastAsia="Noto Serif CJK SC"/>
          <w:b w:val="0"/>
          <w:color w:val="1C2024"/>
          <w:sz w:val="19"/>
        </w:rPr>
        <w:t>本周定价主线来自国内政策和金融数据。海外长端波动仍会通过汇率和风险偏好影响超长端，但没有改变“信用需求偏弱、流动性稳定”的国内逻辑。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2"/>
      </w:tblGrid>
      <w:tr w14:paraId="4CD89A47">
        <w:trPr>
          <w:cantSplit/>
          <w:jc w:val="center"/>
        </w:trPr>
        <w:tc>
          <w:tcPr>
            <w:tcW w:w="9922" w:type="dxa"/>
            <w:tcBorders>
              <w:top w:val="single" w:color="D6DCE1" w:sz="2" w:space="0"/>
              <w:left w:val="single" w:color="1F4E79" w:sz="16" w:space="0"/>
              <w:bottom w:val="single" w:color="D6DCE1" w:sz="2" w:space="0"/>
              <w:right w:val="nil"/>
            </w:tcBorders>
            <w:shd w:val="clear" w:color="auto" w:fill="FFFFFF"/>
            <w:tcMar>
              <w:top w:w="115" w:type="dxa"/>
              <w:left w:w="145" w:type="dxa"/>
              <w:bottom w:w="110" w:type="dxa"/>
              <w:right w:w="130" w:type="dxa"/>
            </w:tcMar>
          </w:tcPr>
          <w:p w14:paraId="7605CCCC">
            <w:pPr>
              <w:spacing w:after="60" w:line="312" w:lineRule="auto"/>
            </w:pPr>
            <w:r>
              <w:rPr>
                <w:rFonts w:ascii="Arial" w:hAnsi="Arial" w:eastAsia="Noto Sans CJK SC"/>
                <w:b/>
                <w:color w:val="1C2024"/>
                <w:sz w:val="20"/>
              </w:rPr>
              <w:t>政策判断</w:t>
            </w:r>
          </w:p>
          <w:p w14:paraId="1D073927">
            <w:pPr>
              <w:spacing w:after="0" w:line="312" w:lineRule="auto"/>
            </w:pPr>
            <w:r>
              <w:rPr>
                <w:rFonts w:ascii="Arial" w:hAnsi="Arial" w:eastAsia="Noto Serif CJK SC"/>
                <w:b/>
                <w:color w:val="1F4E79"/>
                <w:sz w:val="18"/>
              </w:rPr>
              <w:t>二季度货币政策执行报告和多期限工具均指向“适度宽松、精准调节”。</w:t>
            </w:r>
            <w:r>
              <w:rPr>
                <w:rFonts w:ascii="Arial" w:hAnsi="Arial" w:eastAsia="Noto Serif CJK SC"/>
                <w:b w:val="0"/>
                <w:color w:val="1C2024"/>
                <w:sz w:val="18"/>
              </w:rPr>
              <w:t>政策重点是稳定资金价格和降低税期尾部风险，而非推动短端利率持续脱离政策利率。</w:t>
            </w:r>
          </w:p>
        </w:tc>
      </w:tr>
    </w:tbl>
    <w:p w14:paraId="14417237">
      <w:pPr>
        <w:spacing w:after="20"/>
      </w:pPr>
    </w:p>
    <w:p w14:paraId="0487D4A3">
      <w:pPr>
        <w:pStyle w:val="165"/>
        <w:keepNext/>
        <w:pBdr>
          <w:bottom w:val="single" w:color="AAB4BE" w:sz="6" w:space="3"/>
        </w:pBdr>
        <w:spacing w:before="200" w:after="100"/>
      </w:pPr>
      <w:r>
        <w:rPr>
          <w:rFonts w:ascii="Arial" w:hAnsi="Arial" w:eastAsia="Noto Sans CJK SC"/>
          <w:b/>
          <w:color w:val="1C2024"/>
          <w:sz w:val="26"/>
        </w:rPr>
        <w:t>四、供求面与信用市场：一级承接、利差与结构</w:t>
      </w:r>
    </w:p>
    <w:p w14:paraId="56A8E055">
      <w:pPr>
        <w:pStyle w:val="166"/>
        <w:keepNext/>
        <w:spacing w:before="140" w:after="70"/>
      </w:pPr>
      <w:r>
        <w:rPr>
          <w:rFonts w:ascii="Arial" w:hAnsi="Arial" w:eastAsia="Noto Sans CJK SC"/>
          <w:b/>
          <w:color w:val="1C2024"/>
          <w:sz w:val="22"/>
        </w:rPr>
        <w:t>利率债供给：净融资与招标承接</w:t>
      </w:r>
    </w:p>
    <w:p w14:paraId="7883B06A">
      <w:pPr>
        <w:pStyle w:val="164"/>
        <w:spacing w:before="0" w:after="84" w:line="326" w:lineRule="auto"/>
        <w:ind w:firstLine="420"/>
      </w:pPr>
      <w:r>
        <w:rPr>
          <w:rFonts w:ascii="Arial" w:hAnsi="Arial" w:eastAsia="Noto Serif CJK SC"/>
          <w:b w:val="0"/>
          <w:color w:val="1C2024"/>
          <w:sz w:val="19"/>
        </w:rPr>
        <w:t>8月10—16日利率债发行7,361.03亿元、到期9,794.95亿元，净融资-2,433.92亿元。50年特别国债、10年和30年国债招标倍数均较高，净供给下降与配置需求共同支撑长端。</w:t>
      </w:r>
    </w:p>
    <w:p w14:paraId="483C71DF">
      <w:pPr>
        <w:pStyle w:val="166"/>
        <w:keepNext/>
        <w:spacing w:before="140" w:after="70"/>
      </w:pPr>
      <w:r>
        <w:rPr>
          <w:rFonts w:ascii="Arial" w:hAnsi="Arial" w:eastAsia="Noto Sans CJK SC"/>
          <w:b/>
          <w:color w:val="1C2024"/>
          <w:sz w:val="22"/>
        </w:rPr>
        <w:t>信用市场：发行结构与二级表现</w:t>
      </w:r>
    </w:p>
    <w:p w14:paraId="20F248F3">
      <w:pPr>
        <w:pStyle w:val="164"/>
        <w:spacing w:before="0" w:after="84" w:line="326" w:lineRule="auto"/>
        <w:ind w:firstLine="420"/>
      </w:pPr>
      <w:r>
        <w:rPr>
          <w:rFonts w:ascii="Arial" w:hAnsi="Arial" w:eastAsia="Noto Serif CJK SC"/>
          <w:b w:val="0"/>
          <w:color w:val="1C2024"/>
          <w:sz w:val="19"/>
        </w:rPr>
        <w:t>8月10—16日信用债发行934只、规模11,110.14亿元，到期13,115.88亿元，净融资-2,005.74亿元。AAA发行2,892.22亿元，占有评级发行规模的68.78%，期限以5—10年为主。</w:t>
      </w:r>
    </w:p>
    <w:p w14:paraId="7AF96175">
      <w:pPr>
        <w:pStyle w:val="164"/>
        <w:spacing w:before="0" w:after="84" w:line="326" w:lineRule="auto"/>
        <w:ind w:firstLine="420"/>
      </w:pPr>
      <w:r>
        <w:rPr>
          <w:rFonts w:ascii="Arial" w:hAnsi="Arial" w:eastAsia="Noto Serif CJK SC"/>
          <w:b w:val="0"/>
          <w:color w:val="1C2024"/>
          <w:sz w:val="19"/>
        </w:rPr>
        <w:t>二级市场中，AA-城投10年期收益率下行9.03BP，AA-中短票据1年期下行5.02BP。长久期城投与短久期中票的相对价值已被快速挖掘，后续应把流动性和主体甄别放在利差压缩之前。</w:t>
      </w:r>
    </w:p>
    <w:p w14:paraId="1EB20BF7">
      <w:pPr>
        <w:spacing w:before="20" w:after="0" w:line="240" w:lineRule="auto"/>
        <w:jc w:val="center"/>
      </w:pPr>
      <w:r>
        <w:drawing>
          <wp:inline distT="0" distB="0" distL="114300" distR="114300">
            <wp:extent cx="5903595" cy="2553970"/>
            <wp:effectExtent l="0" t="0" r="14605" b="1143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554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7B8AA">
      <w:pPr>
        <w:spacing w:before="40" w:after="20" w:line="240" w:lineRule="auto"/>
        <w:jc w:val="center"/>
      </w:pPr>
      <w:r>
        <w:rPr>
          <w:rFonts w:ascii="Arial" w:hAnsi="Arial" w:eastAsia="Noto Sans CJK SC"/>
          <w:b/>
          <w:color w:val="1C2024"/>
          <w:sz w:val="16"/>
        </w:rPr>
        <w:t>图5  利率债与信用债一级发行、到期及净融资</w:t>
      </w:r>
    </w:p>
    <w:p w14:paraId="62980451">
      <w:pPr>
        <w:spacing w:after="80" w:line="252" w:lineRule="auto"/>
        <w:jc w:val="center"/>
      </w:pPr>
      <w:r>
        <w:rPr>
          <w:rFonts w:ascii="Arial" w:hAnsi="Arial" w:eastAsia="Noto Sans CJK SC"/>
          <w:b w:val="0"/>
          <w:color w:val="707880"/>
          <w:sz w:val="14"/>
        </w:rPr>
        <w:t>资料来源：公开券商周报与发行信息，作者整理；信用债统计含同业存单。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1984"/>
        <w:gridCol w:w="1984"/>
        <w:gridCol w:w="1843"/>
        <w:gridCol w:w="2125"/>
      </w:tblGrid>
      <w:tr w14:paraId="6C712015">
        <w:trPr>
          <w:cantSplit/>
          <w:tblHeader/>
          <w:jc w:val="center"/>
        </w:trPr>
        <w:tc>
          <w:tcPr>
            <w:tcW w:w="1984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6804CAB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品种</w:t>
            </w:r>
          </w:p>
        </w:tc>
        <w:tc>
          <w:tcPr>
            <w:tcW w:w="1984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D61006E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发行（亿元）</w:t>
            </w:r>
          </w:p>
        </w:tc>
        <w:tc>
          <w:tcPr>
            <w:tcW w:w="1984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D40CB2F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到期（亿元）</w:t>
            </w:r>
          </w:p>
        </w:tc>
        <w:tc>
          <w:tcPr>
            <w:tcW w:w="1843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6FE9692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净融资（亿元）</w:t>
            </w:r>
          </w:p>
        </w:tc>
        <w:tc>
          <w:tcPr>
            <w:tcW w:w="2125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02E9C6C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结构特征</w:t>
            </w:r>
          </w:p>
        </w:tc>
      </w:tr>
      <w:tr w14:paraId="09696335">
        <w:trPr>
          <w:cantSplit/>
          <w:jc w:val="center"/>
        </w:trPr>
        <w:tc>
          <w:tcPr>
            <w:tcW w:w="1984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BB4EDCB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利率债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887B473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7,361.03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D2109EC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9,794.95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00EB86E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-2,433.92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4AC394E">
            <w:pPr>
              <w:spacing w:before="0" w:after="0" w:line="29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配置盘承接较强</w:t>
            </w:r>
          </w:p>
        </w:tc>
      </w:tr>
      <w:tr w14:paraId="0647CD42">
        <w:trPr>
          <w:cantSplit/>
          <w:jc w:val="center"/>
        </w:trPr>
        <w:tc>
          <w:tcPr>
            <w:tcW w:w="1984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6321253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信用债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C01787C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11,110.14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38779C1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13,115.88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EEDA883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-2,005.74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255A372">
            <w:pPr>
              <w:spacing w:before="0" w:after="0" w:line="29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关注评级、期限和流动性</w:t>
            </w:r>
          </w:p>
        </w:tc>
      </w:tr>
    </w:tbl>
    <w:p w14:paraId="1F839953">
      <w:pPr>
        <w:spacing w:after="20"/>
      </w:pPr>
    </w:p>
    <w:p w14:paraId="720C9F19">
      <w:pPr>
        <w:pStyle w:val="165"/>
        <w:keepNext/>
        <w:pBdr>
          <w:bottom w:val="single" w:color="AAB4BE" w:sz="6" w:space="3"/>
        </w:pBdr>
        <w:spacing w:before="200" w:after="100"/>
      </w:pPr>
      <w:r>
        <w:rPr>
          <w:rFonts w:ascii="Arial" w:hAnsi="Arial" w:eastAsia="Noto Sans CJK SC"/>
          <w:b/>
          <w:color w:val="1C2024"/>
          <w:sz w:val="26"/>
        </w:rPr>
        <w:t>五、交易日复盘：盘面、驱动与关注</w:t>
      </w:r>
    </w:p>
    <w:p w14:paraId="3456D8C3">
      <w:pPr>
        <w:pStyle w:val="164"/>
        <w:spacing w:before="0" w:after="84" w:line="326" w:lineRule="auto"/>
        <w:ind w:firstLine="0"/>
      </w:pPr>
      <w:r>
        <w:rPr>
          <w:rFonts w:ascii="Arial" w:hAnsi="Arial" w:eastAsia="Noto Serif CJK SC"/>
          <w:b w:val="0"/>
          <w:color w:val="1C2024"/>
          <w:sz w:val="19"/>
        </w:rPr>
        <w:t>以下按交易日梳理盘面变化、主要驱动和次日关注。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9"/>
        <w:gridCol w:w="2795"/>
        <w:gridCol w:w="2438"/>
        <w:gridCol w:w="2588"/>
      </w:tblGrid>
      <w:tr w14:paraId="7E264908">
        <w:trPr>
          <w:cantSplit/>
          <w:tblHeader/>
          <w:jc w:val="center"/>
        </w:trPr>
        <w:tc>
          <w:tcPr>
            <w:tcW w:w="2099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68AFBDC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日期</w:t>
            </w:r>
          </w:p>
        </w:tc>
        <w:tc>
          <w:tcPr>
            <w:tcW w:w="2795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9DB5C82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盘面</w:t>
            </w:r>
          </w:p>
        </w:tc>
        <w:tc>
          <w:tcPr>
            <w:tcW w:w="2438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6BA3EEEF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主要驱动</w:t>
            </w:r>
          </w:p>
        </w:tc>
        <w:tc>
          <w:tcPr>
            <w:tcW w:w="2588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DD0586D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次日关注</w:t>
            </w:r>
          </w:p>
        </w:tc>
      </w:tr>
      <w:tr w14:paraId="3F8CFBCA">
        <w:trPr>
          <w:cantSplit/>
          <w:jc w:val="center"/>
        </w:trPr>
        <w:tc>
          <w:tcPr>
            <w:tcW w:w="2099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DD20DF5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8月10日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7FECC0E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超长端午后走强，10Y约1.697%</w:t>
            </w:r>
          </w:p>
        </w:tc>
        <w:tc>
          <w:tcPr>
            <w:tcW w:w="2438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F2D1FF4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CPI/PPI强化价格回落预期；1.70%附近开始进入技术博弈。</w:t>
            </w:r>
          </w:p>
        </w:tc>
        <w:tc>
          <w:tcPr>
            <w:tcW w:w="2588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6788A1C3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央行操作、大额到期与货政报告</w:t>
            </w:r>
          </w:p>
        </w:tc>
      </w:tr>
      <w:tr w14:paraId="089B9967">
        <w:trPr>
          <w:cantSplit/>
          <w:jc w:val="center"/>
        </w:trPr>
        <w:tc>
          <w:tcPr>
            <w:tcW w:w="2099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330CCE85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8月11日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01A4249C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债市走弱，期货多数下跌</w:t>
            </w:r>
          </w:p>
        </w:tc>
        <w:tc>
          <w:tcPr>
            <w:tcW w:w="2438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4448BBB7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7天逆回购零投放引发资金预期修正，前期获利盘兑现；基本面逻辑未逆转。</w:t>
            </w:r>
          </w:p>
        </w:tc>
        <w:tc>
          <w:tcPr>
            <w:tcW w:w="2588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01C8A68E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货政报告、50年国债供给</w:t>
            </w:r>
          </w:p>
        </w:tc>
      </w:tr>
      <w:tr w14:paraId="231C4EB4">
        <w:trPr>
          <w:cantSplit/>
          <w:jc w:val="center"/>
        </w:trPr>
        <w:tc>
          <w:tcPr>
            <w:tcW w:w="2099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846D05F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8月12日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766DDDF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弱势震荡，10Y围绕1.70%</w:t>
            </w:r>
          </w:p>
        </w:tc>
        <w:tc>
          <w:tcPr>
            <w:tcW w:w="2438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727D895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零投放与50年供给压制超长端；货政报告偏宽松，但市场等待操作验证。</w:t>
            </w:r>
          </w:p>
        </w:tc>
        <w:tc>
          <w:tcPr>
            <w:tcW w:w="2588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052A6B9B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隔夜逆回购安排、买断式续作</w:t>
            </w:r>
          </w:p>
        </w:tc>
      </w:tr>
      <w:tr w14:paraId="2BA41CCC">
        <w:trPr>
          <w:cantSplit/>
          <w:jc w:val="center"/>
        </w:trPr>
        <w:tc>
          <w:tcPr>
            <w:tcW w:w="2099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7755055D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8月13日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140BA7F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债市转强，资金担忧缓解</w:t>
            </w:r>
          </w:p>
        </w:tc>
        <w:tc>
          <w:tcPr>
            <w:tcW w:w="2438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638090F5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央行宣布月中启用隔夜逆回购，税期尾部风险下降，政策信号转化为交易。</w:t>
            </w:r>
          </w:p>
        </w:tc>
        <w:tc>
          <w:tcPr>
            <w:tcW w:w="2588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335132DD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1万亿元买断式续作、金融数据</w:t>
            </w:r>
          </w:p>
        </w:tc>
      </w:tr>
      <w:tr w14:paraId="0A39126F">
        <w:trPr>
          <w:cantSplit/>
          <w:jc w:val="center"/>
        </w:trPr>
        <w:tc>
          <w:tcPr>
            <w:tcW w:w="2099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498C4534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8月14日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37CFF575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10Y下至约1.68%，长端明显走强</w:t>
            </w:r>
          </w:p>
        </w:tc>
        <w:tc>
          <w:tcPr>
            <w:tcW w:w="2438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012534A2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买断式等量续作、隔夜投放3,490亿元；金融数据结构偏弱，配置逻辑强化。</w:t>
            </w:r>
          </w:p>
        </w:tc>
        <w:tc>
          <w:tcPr>
            <w:tcW w:w="2588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6DAADDED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周末后资金延续性、7月经济数据</w:t>
            </w:r>
          </w:p>
        </w:tc>
      </w:tr>
    </w:tbl>
    <w:p w14:paraId="58B6FA4E">
      <w:pPr>
        <w:spacing w:after="20"/>
      </w:pP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2"/>
      </w:tblGrid>
      <w:tr w14:paraId="17A651C6">
        <w:trPr>
          <w:cantSplit/>
          <w:jc w:val="center"/>
        </w:trPr>
        <w:tc>
          <w:tcPr>
            <w:tcW w:w="9922" w:type="dxa"/>
            <w:tcBorders>
              <w:top w:val="single" w:color="D6DCE1" w:sz="2" w:space="0"/>
              <w:left w:val="single" w:color="1F4E79" w:sz="16" w:space="0"/>
              <w:bottom w:val="single" w:color="D6DCE1" w:sz="2" w:space="0"/>
              <w:right w:val="nil"/>
            </w:tcBorders>
            <w:shd w:val="clear" w:color="auto" w:fill="FFFFFF"/>
            <w:tcMar>
              <w:top w:w="115" w:type="dxa"/>
              <w:left w:w="145" w:type="dxa"/>
              <w:bottom w:w="110" w:type="dxa"/>
              <w:right w:w="130" w:type="dxa"/>
            </w:tcMar>
          </w:tcPr>
          <w:p w14:paraId="4C635574">
            <w:pPr>
              <w:spacing w:after="60" w:line="312" w:lineRule="auto"/>
            </w:pPr>
            <w:r>
              <w:rPr>
                <w:rFonts w:ascii="Arial" w:hAnsi="Arial" w:eastAsia="Noto Sans CJK SC"/>
                <w:b/>
                <w:color w:val="1C2024"/>
                <w:sz w:val="20"/>
              </w:rPr>
              <w:t>周度结论</w:t>
            </w:r>
          </w:p>
          <w:p w14:paraId="581358D9">
            <w:pPr>
              <w:spacing w:after="0" w:line="312" w:lineRule="auto"/>
            </w:pPr>
            <w:r>
              <w:rPr>
                <w:rFonts w:ascii="Arial" w:hAnsi="Arial" w:eastAsia="Noto Serif CJK SC"/>
                <w:b/>
                <w:color w:val="1F4E79"/>
                <w:sz w:val="18"/>
              </w:rPr>
              <w:t>本周10年期国债下破1.70%，政策呵护和弱信用需求共同强化中长端逻辑。</w:t>
            </w:r>
            <w:r>
              <w:rPr>
                <w:rFonts w:ascii="Arial" w:hAnsi="Arial" w:eastAsia="Noto Serif CJK SC"/>
                <w:b w:val="0"/>
                <w:color w:val="1C2024"/>
                <w:sz w:val="18"/>
              </w:rPr>
              <w:t>当前位置不宜追涨，组合应保留核心久期，并在回调时增配5—10年期；超长端以波段和相对价值为主。</w:t>
            </w:r>
          </w:p>
        </w:tc>
      </w:tr>
    </w:tbl>
    <w:p w14:paraId="4784BCBF">
      <w:pPr>
        <w:pStyle w:val="165"/>
        <w:keepNext/>
        <w:pBdr>
          <w:bottom w:val="single" w:color="AAB4BE" w:sz="6" w:space="3"/>
        </w:pBdr>
        <w:spacing w:before="200" w:after="100"/>
      </w:pPr>
      <w:r>
        <w:rPr>
          <w:rFonts w:ascii="Arial" w:hAnsi="Arial" w:eastAsia="Noto Sans CJK SC"/>
          <w:b/>
          <w:color w:val="1C2024"/>
          <w:sz w:val="26"/>
        </w:rPr>
        <w:t>六、策略总结与后市展望</w:t>
      </w:r>
    </w:p>
    <w:p w14:paraId="7760A189">
      <w:pPr>
        <w:pStyle w:val="166"/>
        <w:keepNext/>
        <w:spacing w:before="140" w:after="70"/>
      </w:pPr>
      <w:r>
        <w:rPr>
          <w:rFonts w:ascii="Arial" w:hAnsi="Arial" w:eastAsia="Noto Sans CJK SC"/>
          <w:b/>
          <w:color w:val="1C2024"/>
          <w:sz w:val="22"/>
        </w:rPr>
        <w:t>分账户策略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7"/>
        <w:gridCol w:w="3307"/>
        <w:gridCol w:w="3307"/>
      </w:tblGrid>
      <w:tr w14:paraId="17F27807">
        <w:trPr>
          <w:cantSplit/>
          <w:tblHeader/>
          <w:jc w:val="center"/>
        </w:trPr>
        <w:tc>
          <w:tcPr>
            <w:tcW w:w="1700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ADB5A38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账户类型</w:t>
            </w:r>
          </w:p>
        </w:tc>
        <w:tc>
          <w:tcPr>
            <w:tcW w:w="4648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D1C320A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配置与操作</w:t>
            </w:r>
          </w:p>
        </w:tc>
        <w:tc>
          <w:tcPr>
            <w:tcW w:w="3514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33DCA27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风险控制</w:t>
            </w:r>
          </w:p>
        </w:tc>
      </w:tr>
      <w:tr w14:paraId="0BDE5E02">
        <w:trPr>
          <w:cantSplit/>
          <w:jc w:val="center"/>
        </w:trPr>
        <w:tc>
          <w:tcPr>
            <w:tcW w:w="3307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86087F5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交易盘</w:t>
            </w:r>
          </w:p>
        </w:tc>
        <w:tc>
          <w:tcPr>
            <w:tcW w:w="3307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656420A">
            <w:pPr>
              <w:spacing w:before="0" w:after="0" w:line="29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保持中长端久期，10年期快速下行时不追价，等待1.70%附近回摆再增持。</w:t>
            </w:r>
          </w:p>
        </w:tc>
        <w:tc>
          <w:tcPr>
            <w:tcW w:w="3307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822934D">
            <w:pPr>
              <w:spacing w:before="0" w:after="0" w:line="29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零投放、税期和供给共振导致DR上行时，先控制杠杆。</w:t>
            </w:r>
          </w:p>
        </w:tc>
      </w:tr>
      <w:tr w14:paraId="43FA09E8">
        <w:trPr>
          <w:cantSplit/>
          <w:jc w:val="center"/>
        </w:trPr>
        <w:tc>
          <w:tcPr>
            <w:tcW w:w="3307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4258C69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配置盘</w:t>
            </w:r>
          </w:p>
        </w:tc>
        <w:tc>
          <w:tcPr>
            <w:tcW w:w="3307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8FA67E7">
            <w:pPr>
              <w:spacing w:before="0" w:after="0" w:line="29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5—10年期仍是票息、骑乘和流动性的较优平衡；超长端参与供给错位波段。</w:t>
            </w:r>
          </w:p>
        </w:tc>
        <w:tc>
          <w:tcPr>
            <w:tcW w:w="3307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F2350AC">
            <w:pPr>
              <w:spacing w:before="0" w:after="0" w:line="29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控制超长久期仓位，防范摊余成本资金“抢跑后止盈”。</w:t>
            </w:r>
          </w:p>
        </w:tc>
      </w:tr>
      <w:tr w14:paraId="3F7D1902">
        <w:trPr>
          <w:cantSplit/>
          <w:jc w:val="center"/>
        </w:trPr>
        <w:tc>
          <w:tcPr>
            <w:tcW w:w="3307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2866428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信用账户</w:t>
            </w:r>
          </w:p>
        </w:tc>
        <w:tc>
          <w:tcPr>
            <w:tcW w:w="3307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1881614">
            <w:pPr>
              <w:spacing w:before="0" w:after="0" w:line="29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关注5年左右高等级信用债及有新券定价优势的主体；城投强调区域和流动性。</w:t>
            </w:r>
          </w:p>
        </w:tc>
        <w:tc>
          <w:tcPr>
            <w:tcW w:w="3307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EDA369F">
            <w:pPr>
              <w:spacing w:before="0" w:after="0" w:line="29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AAA利差低位后不盲目压缩，避免无差别信用下沉。</w:t>
            </w:r>
          </w:p>
        </w:tc>
      </w:tr>
    </w:tbl>
    <w:p w14:paraId="6F746199">
      <w:pPr>
        <w:spacing w:after="20"/>
      </w:pPr>
    </w:p>
    <w:p w14:paraId="47992FB4">
      <w:pPr>
        <w:pStyle w:val="166"/>
        <w:keepNext/>
        <w:spacing w:before="140" w:after="70"/>
      </w:pPr>
      <w:bookmarkStart w:id="0" w:name="_GoBack"/>
      <w:bookmarkEnd w:id="0"/>
      <w:r>
        <w:rPr>
          <w:rFonts w:ascii="Arial" w:hAnsi="Arial" w:eastAsia="Noto Sans CJK SC"/>
          <w:b/>
          <w:color w:val="1C2024"/>
          <w:sz w:val="22"/>
        </w:rPr>
        <w:t>后续重点关注</w:t>
      </w:r>
    </w:p>
    <w:p w14:paraId="0EF26D28">
      <w:pPr>
        <w:pStyle w:val="164"/>
        <w:spacing w:after="50" w:line="317" w:lineRule="auto"/>
        <w:ind w:left="283" w:hanging="198"/>
      </w:pPr>
      <w:r>
        <w:rPr>
          <w:rFonts w:ascii="Arial" w:hAnsi="Arial" w:eastAsia="Noto Serif CJK SC"/>
          <w:b w:val="0"/>
          <w:color w:val="1C2024"/>
          <w:sz w:val="19"/>
        </w:rPr>
        <w:t>• 7月工业增加值、社会消费品零售总额等经济数据</w:t>
      </w:r>
    </w:p>
    <w:p w14:paraId="6FE0C7E4">
      <w:pPr>
        <w:pStyle w:val="164"/>
        <w:spacing w:after="50" w:line="317" w:lineRule="auto"/>
        <w:ind w:left="283" w:hanging="198"/>
      </w:pPr>
      <w:r>
        <w:rPr>
          <w:rFonts w:ascii="Arial" w:hAnsi="Arial" w:eastAsia="Noto Serif CJK SC"/>
          <w:b w:val="0"/>
          <w:color w:val="1C2024"/>
          <w:sz w:val="19"/>
        </w:rPr>
        <w:t>• 隔夜逆回购与买断式工具在税期后的退出节奏</w:t>
      </w:r>
    </w:p>
    <w:p w14:paraId="75112C71">
      <w:pPr>
        <w:pStyle w:val="164"/>
        <w:spacing w:after="50" w:line="317" w:lineRule="auto"/>
        <w:ind w:left="283" w:hanging="198"/>
      </w:pPr>
      <w:r>
        <w:rPr>
          <w:rFonts w:ascii="Arial" w:hAnsi="Arial" w:eastAsia="Noto Serif CJK SC"/>
          <w:b w:val="0"/>
          <w:color w:val="1C2024"/>
          <w:sz w:val="19"/>
        </w:rPr>
        <w:t>• 摊余成本基金申报、配额与配置预期</w:t>
      </w:r>
    </w:p>
    <w:p w14:paraId="6FA29C6E">
      <w:pPr>
        <w:pStyle w:val="164"/>
        <w:spacing w:after="50" w:line="317" w:lineRule="auto"/>
        <w:ind w:left="283" w:hanging="198"/>
      </w:pPr>
      <w:r>
        <w:rPr>
          <w:rFonts w:ascii="Arial" w:hAnsi="Arial" w:eastAsia="Noto Serif CJK SC"/>
          <w:b w:val="0"/>
          <w:color w:val="1C2024"/>
          <w:sz w:val="19"/>
        </w:rPr>
        <w:t>• 超长期国债供给和海外长债波动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2"/>
      </w:tblGrid>
      <w:tr w14:paraId="4D94D12F">
        <w:trPr>
          <w:cantSplit/>
          <w:jc w:val="center"/>
        </w:trPr>
        <w:tc>
          <w:tcPr>
            <w:tcW w:w="9922" w:type="dxa"/>
            <w:tcBorders>
              <w:top w:val="single" w:color="D6DCE1" w:sz="2" w:space="0"/>
              <w:left w:val="single" w:color="AAB4BE" w:sz="8" w:space="0"/>
              <w:bottom w:val="single" w:color="D6DCE1" w:sz="2" w:space="0"/>
              <w:right w:val="nil"/>
            </w:tcBorders>
            <w:shd w:val="clear" w:color="auto" w:fill="FFFFFF"/>
            <w:tcMar>
              <w:top w:w="115" w:type="dxa"/>
              <w:left w:w="145" w:type="dxa"/>
              <w:bottom w:w="110" w:type="dxa"/>
              <w:right w:w="130" w:type="dxa"/>
            </w:tcMar>
          </w:tcPr>
          <w:p w14:paraId="548AB405">
            <w:pPr>
              <w:spacing w:after="60" w:line="312" w:lineRule="auto"/>
            </w:pPr>
            <w:r>
              <w:rPr>
                <w:rFonts w:ascii="Arial" w:hAnsi="Arial" w:eastAsia="Noto Sans CJK SC"/>
                <w:b/>
                <w:color w:val="1C2024"/>
                <w:sz w:val="19"/>
              </w:rPr>
              <w:t>数据口径与资料来源</w:t>
            </w:r>
          </w:p>
          <w:p w14:paraId="363D770F">
            <w:pPr>
              <w:spacing w:after="0" w:line="312" w:lineRule="auto"/>
            </w:pPr>
            <w:r>
              <w:rPr>
                <w:rFonts w:ascii="Arial" w:hAnsi="Arial" w:eastAsia="Noto Serif CJK SC"/>
                <w:b w:val="0"/>
                <w:color w:val="707880"/>
                <w:sz w:val="16"/>
              </w:rPr>
              <w:t>周度端点以中债日终曲线为准，日度公开行情仅用于观察交易节奏。报告基于公开信息整理，仅用于学习与研究展示。主要资料来源包括中国人民银行、国家统计局、财政部、中债收益率曲线、新华财经及公开券商固收周报。</w:t>
            </w:r>
          </w:p>
        </w:tc>
      </w:tr>
    </w:tbl>
    <w:p w14:paraId="09FF3329"/>
    <w:sectPr>
      <w:headerReference r:id="rId5" w:type="default"/>
      <w:footerReference r:id="rId6" w:type="default"/>
      <w:pgSz w:w="11906" w:h="16838"/>
      <w:pgMar w:top="879" w:right="935" w:bottom="822" w:left="935" w:header="312" w:footer="255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Noto Serif CJK S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Noto Sans CJK S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A9F3F9">
    <w:pPr>
      <w:pStyle w:val="24"/>
      <w:spacing w:after="0"/>
    </w:pPr>
  </w:p>
  <w:tbl>
    <w:tblPr>
      <w:tblStyle w:val="32"/>
      <w:tblW w:w="0" w:type="auto"/>
      <w:jc w:val="center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4961"/>
      <w:gridCol w:w="4961"/>
    </w:tblGrid>
    <w:tr w14:paraId="586B4D6E">
      <w:trPr>
        <w:jc w:val="center"/>
      </w:trPr>
      <w:tc>
        <w:tcPr>
          <w:tcW w:w="7766" w:type="dxa"/>
          <w:tcBorders>
            <w:top w:val="single" w:color="D6DCE1" w:sz="2" w:space="0"/>
            <w:left w:val="nil"/>
            <w:bottom w:val="nil"/>
            <w:right w:val="nil"/>
          </w:tcBorders>
          <w:shd w:val="clear" w:color="auto" w:fill="FFFFFF"/>
          <w:tcMar>
            <w:top w:w="55" w:type="dxa"/>
            <w:left w:w="0" w:type="dxa"/>
            <w:bottom w:w="0" w:type="dxa"/>
            <w:right w:w="0" w:type="dxa"/>
          </w:tcMar>
        </w:tcPr>
        <w:p w14:paraId="42B20A3D">
          <w:pPr>
            <w:spacing w:after="0"/>
            <w:jc w:val="left"/>
          </w:pPr>
          <w:r>
            <w:rPr>
              <w:rFonts w:ascii="Arial" w:hAnsi="Arial" w:eastAsia="Noto Sans CJK SC"/>
              <w:b w:val="0"/>
              <w:color w:val="707880"/>
              <w:sz w:val="14"/>
            </w:rPr>
            <w:t>陈佳梅（Ami Chen）｜上海财经大学财税投资学院</w:t>
          </w:r>
        </w:p>
      </w:tc>
      <w:tc>
        <w:tcPr>
          <w:tcW w:w="2154" w:type="dxa"/>
          <w:tcBorders>
            <w:top w:val="single" w:color="D6DCE1" w:sz="2" w:space="0"/>
            <w:left w:val="nil"/>
            <w:bottom w:val="nil"/>
            <w:right w:val="nil"/>
          </w:tcBorders>
          <w:shd w:val="clear" w:color="auto" w:fill="FFFFFF"/>
          <w:tcMar>
            <w:top w:w="55" w:type="dxa"/>
            <w:left w:w="0" w:type="dxa"/>
            <w:bottom w:w="0" w:type="dxa"/>
            <w:right w:w="0" w:type="dxa"/>
          </w:tcMar>
        </w:tcPr>
        <w:p w14:paraId="048749F7">
          <w:pPr>
            <w:spacing w:after="0"/>
            <w:jc w:val="right"/>
          </w:pPr>
          <w:r>
            <w:rPr>
              <w:rFonts w:ascii="Arial" w:hAnsi="Arial" w:eastAsia="Noto Sans CJK SC"/>
              <w:b w:val="0"/>
              <w:color w:val="707880"/>
              <w:sz w:val="14"/>
            </w:rPr>
            <w:t xml:space="preserve">第 </w:t>
          </w:r>
          <w:r>
            <w:rPr>
              <w:rFonts w:ascii="Arial" w:hAnsi="Arial" w:eastAsia="Noto Sans CJK SC"/>
              <w:b w:val="0"/>
              <w:color w:val="707880"/>
              <w:sz w:val="14"/>
            </w:rPr>
            <w:fldChar w:fldCharType="begin"/>
          </w:r>
          <w:r>
            <w:rPr>
              <w:rFonts w:ascii="Arial" w:hAnsi="Arial" w:eastAsia="Noto Sans CJK SC"/>
              <w:b w:val="0"/>
              <w:color w:val="707880"/>
              <w:sz w:val="14"/>
            </w:rPr>
            <w:instrText xml:space="preserve"> PAGE </w:instrText>
          </w:r>
          <w:r>
            <w:rPr>
              <w:rFonts w:ascii="Arial" w:hAnsi="Arial" w:eastAsia="Noto Sans CJK SC"/>
              <w:b w:val="0"/>
              <w:color w:val="707880"/>
              <w:sz w:val="14"/>
            </w:rPr>
            <w:fldChar w:fldCharType="end"/>
          </w:r>
          <w:r>
            <w:rPr>
              <w:rFonts w:ascii="Arial" w:hAnsi="Arial" w:eastAsia="Noto Sans CJK SC"/>
              <w:b w:val="0"/>
              <w:color w:val="707880"/>
              <w:sz w:val="14"/>
            </w:rPr>
            <w:t xml:space="preserve"> 页</w:t>
          </w:r>
        </w:p>
      </w:tc>
    </w:tr>
  </w:tbl>
  <w:p w14:paraId="5D3CA13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26" w:lineRule="auto"/>
      </w:pPr>
      <w:r>
        <w:separator/>
      </w:r>
    </w:p>
  </w:footnote>
  <w:footnote w:type="continuationSeparator" w:id="1">
    <w:p>
      <w:pPr>
        <w:spacing w:before="0" w:after="0" w:line="32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549CE2">
    <w:pPr>
      <w:pStyle w:val="25"/>
      <w:pBdr>
        <w:bottom w:val="single" w:color="D6DCE1" w:sz="4" w:space="3"/>
      </w:pBdr>
      <w:spacing w:after="0"/>
      <w:jc w:val="left"/>
    </w:pPr>
    <w:r>
      <w:rPr>
        <w:rFonts w:ascii="Arial" w:hAnsi="Arial" w:eastAsia="Noto Sans CJK SC"/>
        <w:b/>
        <w:color w:val="4A525A"/>
        <w:sz w:val="15"/>
      </w:rPr>
      <w:t>上海财经大学财税投资学院｜固定收益研究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7FF7E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84" w:line="326" w:lineRule="auto"/>
    </w:pPr>
    <w:rPr>
      <w:rFonts w:ascii="Arial" w:hAnsi="Arial" w:eastAsia="Noto Serif CJK SC" w:cstheme="minorBidi"/>
      <w:sz w:val="19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正文1"/>
    <w:uiPriority w:val="0"/>
    <w:pPr>
      <w:widowControl/>
      <w:spacing w:after="84" w:line="326" w:lineRule="auto"/>
    </w:pPr>
    <w:rPr>
      <w:rFonts w:ascii="Arial" w:hAnsi="Arial" w:eastAsia="Noto Serif CJK SC" w:cstheme="minorBidi"/>
      <w:sz w:val="19"/>
      <w:szCs w:val="22"/>
      <w:lang w:val="en-US" w:eastAsia="en-US" w:bidi="ar-SA"/>
    </w:rPr>
  </w:style>
  <w:style w:type="paragraph" w:customStyle="1" w:styleId="165">
    <w:name w:val="标题 11"/>
    <w:uiPriority w:val="0"/>
    <w:pPr>
      <w:keepNext/>
      <w:widowControl/>
      <w:spacing w:before="160" w:after="100" w:line="276" w:lineRule="auto"/>
    </w:pPr>
    <w:rPr>
      <w:rFonts w:ascii="Arial" w:hAnsi="Arial" w:eastAsia="Noto Sans CJK SC" w:cstheme="minorBidi"/>
      <w:b/>
      <w:color w:val="1C2024"/>
      <w:sz w:val="26"/>
      <w:szCs w:val="22"/>
      <w:lang w:val="en-US" w:eastAsia="en-US" w:bidi="ar-SA"/>
    </w:rPr>
  </w:style>
  <w:style w:type="paragraph" w:customStyle="1" w:styleId="166">
    <w:name w:val="标题 21"/>
    <w:uiPriority w:val="0"/>
    <w:pPr>
      <w:keepNext/>
      <w:widowControl/>
      <w:spacing w:before="100" w:after="60" w:line="276" w:lineRule="auto"/>
    </w:pPr>
    <w:rPr>
      <w:rFonts w:ascii="Arial" w:hAnsi="Arial" w:eastAsia="Noto Sans CJK SC" w:cstheme="minorBidi"/>
      <w:b/>
      <w:color w:val="1C2024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numbering" Target="numbering.xml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陈佳梅（Ami Chen）</dc:creator>
  <dc:description>generated by python-docx</dc:description>
  <cp:keywords>债券市场, 固定收益, 债市周报, 上海财经大学财税投资学院</cp:keywords>
  <cp:lastModifiedBy>夏一帧</cp:lastModifiedBy>
  <dcterms:modified xsi:type="dcterms:W3CDTF">2026-08-23T13:02:54Z</dcterms:modified>
  <dc:subject>债市周报｜上海财经大学财税投资学院</dc:subject>
  <dc:title>政策呵护与弱信用共振，10年国债下破1.70%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5838A8CA41D8AE54FE7E8A6AF3B0F958_42</vt:lpwstr>
  </property>
</Properties>
</file>