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4961"/>
      </w:tblGrid>
      <w:tr w14:paraId="5553D477">
        <w:trPr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50FB7F">
            <w:pPr>
              <w:jc w:val="left"/>
            </w:pPr>
          </w:p>
        </w:tc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CC05D">
            <w:pPr>
              <w:spacing w:after="20"/>
              <w:jc w:val="right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固定收益研究｜债市跟踪项目</w:t>
            </w:r>
          </w:p>
          <w:p w14:paraId="1C5422D6">
            <w:pPr>
              <w:spacing w:after="0"/>
              <w:jc w:val="right"/>
            </w:pPr>
            <w:r>
              <w:rPr>
                <w:rFonts w:ascii="Arial" w:hAnsi="Arial" w:eastAsia="Noto Sans CJK SC"/>
                <w:b w:val="0"/>
                <w:color w:val="707880"/>
                <w:sz w:val="15"/>
              </w:rPr>
              <w:t>数据区间：2026年8月3日—8月7日  ｜  编制日期：2026年8月23日</w:t>
            </w:r>
          </w:p>
        </w:tc>
      </w:tr>
    </w:tbl>
    <w:p w14:paraId="4B0D9C56">
      <w:pPr>
        <w:keepNext/>
        <w:spacing w:before="180" w:after="140" w:line="307" w:lineRule="auto"/>
        <w:jc w:val="left"/>
      </w:pPr>
      <w:r>
        <w:rPr>
          <w:rFonts w:ascii="Arial" w:hAnsi="Arial" w:eastAsia="Noto Sans CJK SC"/>
          <w:b/>
          <w:color w:val="1C2024"/>
          <w:sz w:val="41"/>
        </w:rPr>
        <w:t>资金回笼未改宽松格局，期限利差继续收窄</w:t>
      </w:r>
    </w:p>
    <w:p w14:paraId="08BD0EF0">
      <w:pPr>
        <w:keepNext/>
        <w:pBdr>
          <w:bottom w:val="single" w:color="AAB4BE" w:sz="6" w:space="3"/>
        </w:pBdr>
        <w:spacing w:before="0" w:after="140" w:line="307" w:lineRule="auto"/>
      </w:pPr>
      <w:r>
        <w:rPr>
          <w:rFonts w:ascii="Arial" w:hAnsi="Arial" w:eastAsia="Noto Sans CJK SC"/>
          <w:b/>
          <w:color w:val="1C2024"/>
          <w:sz w:val="21"/>
        </w:rPr>
        <w:t>第一周债市周报｜2026年8月3日—8月7日</w:t>
      </w:r>
      <w:r>
        <w:rPr>
          <w:rFonts w:ascii="Arial" w:hAnsi="Arial" w:eastAsia="Noto Sans CJK SC"/>
          <w:b w:val="0"/>
          <w:color w:val="707880"/>
          <w:sz w:val="18"/>
        </w:rPr>
        <w:t xml:space="preserve">    陈佳梅（Ami Chen）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720DD20D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8" w:space="0"/>
              <w:bottom w:val="single" w:color="D6DCE1" w:sz="2" w:space="0"/>
              <w:right w:val="nil"/>
            </w:tcBorders>
            <w:shd w:val="clear" w:color="auto" w:fill="FFFFFF"/>
            <w:tcMar>
              <w:top w:w="125" w:type="dxa"/>
              <w:left w:w="155" w:type="dxa"/>
              <w:bottom w:w="115" w:type="dxa"/>
              <w:right w:w="135" w:type="dxa"/>
            </w:tcMar>
          </w:tcPr>
          <w:p w14:paraId="1B985AA9">
            <w:pPr>
              <w:spacing w:after="80" w:line="317" w:lineRule="auto"/>
            </w:pPr>
            <w:r>
              <w:rPr>
                <w:rFonts w:ascii="Arial" w:hAnsi="Arial" w:eastAsia="Noto Sans CJK SC"/>
                <w:b/>
                <w:color w:val="1C2024"/>
                <w:sz w:val="21"/>
              </w:rPr>
              <w:t>核心观点</w:t>
            </w:r>
          </w:p>
          <w:p w14:paraId="09DB08EC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曲线延续牛平。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较上周五，1年期中债国债收益率上行5.83BP，5年和10年期分别下行0.37BP、0.27BP，10Y-1Y期限利差收窄6.10BP。</w:t>
            </w:r>
          </w:p>
          <w:p w14:paraId="62069775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资金价格未随操作净回笼上行。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DR001、DR007周末分别为1.3618%和1.3881%，仍低于1.40%的7天逆回购利率，公开市场回笼主要是在回收冗余流动性。</w:t>
            </w:r>
          </w:p>
          <w:p w14:paraId="320CBD9D">
            <w:pPr>
              <w:spacing w:after="48" w:line="317" w:lineRule="auto"/>
              <w:ind w:left="0" w:firstLine="0"/>
            </w:pPr>
            <w:r>
              <w:rPr>
                <w:rFonts w:ascii="Arial" w:hAnsi="Arial" w:eastAsia="Noto Serif CJK SC"/>
                <w:b/>
                <w:color w:val="1C2024"/>
                <w:sz w:val="19"/>
              </w:rPr>
              <w:t xml:space="preserve">• </w:t>
            </w:r>
            <w:r>
              <w:rPr>
                <w:rFonts w:ascii="Arial" w:hAnsi="Arial" w:eastAsia="Noto Serif CJK SC"/>
                <w:b/>
                <w:color w:val="1F4E79"/>
                <w:sz w:val="19"/>
              </w:rPr>
              <w:t>策略上仍以中长端为主，但不追低。</w:t>
            </w:r>
            <w:r>
              <w:rPr>
                <w:rFonts w:ascii="Arial" w:hAnsi="Arial" w:eastAsia="Noto Serif CJK SC"/>
                <w:b w:val="0"/>
                <w:color w:val="1C2024"/>
                <w:sz w:val="19"/>
              </w:rPr>
              <w:t>弱PMI、物价回落预期与一级承接支撑5—10年期；超长端更适合相对价值交易。</w:t>
            </w:r>
          </w:p>
        </w:tc>
      </w:tr>
    </w:tbl>
    <w:p w14:paraId="7A4D512F">
      <w:pPr>
        <w:spacing w:after="20"/>
      </w:pPr>
    </w:p>
    <w:p w14:paraId="4D4A78A2">
      <w:pPr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本周主线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3C5A0F6C">
        <w:trPr>
          <w:cantSplit/>
          <w:tblHeader/>
          <w:jc w:val="center"/>
        </w:trPr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31E54D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市场表现</w:t>
            </w:r>
          </w:p>
        </w:tc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9CD6EC8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主要驱动</w:t>
            </w:r>
          </w:p>
        </w:tc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7A9C82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定价影响</w:t>
            </w:r>
          </w:p>
        </w:tc>
        <w:tc>
          <w:tcPr>
            <w:tcW w:w="248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60F2638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策略建议</w:t>
            </w:r>
          </w:p>
        </w:tc>
      </w:tr>
      <w:tr w14:paraId="39A12DE0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B0CD6B8">
            <w:pPr>
              <w:spacing w:before="0" w:after="0" w:line="293" w:lineRule="auto"/>
            </w:pPr>
            <w:r>
              <w:rPr>
                <w:rFonts w:ascii="Arial" w:hAnsi="Arial" w:eastAsia="Noto Sans CJK SC"/>
                <w:b/>
                <w:color w:val="1F4E79"/>
                <w:sz w:val="17"/>
              </w:rPr>
              <w:t>短端上行，中长端小幅下行，10Y-1Y明显收窄。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C6E6374">
            <w:pPr>
              <w:spacing w:before="0" w:after="0" w:line="293" w:lineRule="auto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资金价格保持低位，弱需求预期延续，一级供给承接顺畅。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7CB07F">
            <w:pPr>
              <w:spacing w:before="0" w:after="0" w:line="293" w:lineRule="auto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短端受政策利率约束，长端相对占优，曲线交易优于单边追涨。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9645377">
            <w:pPr>
              <w:spacing w:before="0" w:after="0" w:line="293" w:lineRule="auto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维持中性偏多，回调配置5—10年期；超长端侧重相对价值。</w:t>
            </w:r>
          </w:p>
        </w:tc>
      </w:tr>
    </w:tbl>
    <w:p w14:paraId="01E0FE59">
      <w:pPr>
        <w:spacing w:after="20"/>
      </w:pPr>
    </w:p>
    <w:p w14:paraId="488C1B2E">
      <w:pPr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关键指标（中债周度端点）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06282645">
        <w:trPr>
          <w:cantSplit/>
          <w:tblHeader/>
          <w:jc w:val="center"/>
        </w:trPr>
        <w:tc>
          <w:tcPr>
            <w:tcW w:w="175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7EB497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指标</w:t>
            </w:r>
          </w:p>
        </w:tc>
        <w:tc>
          <w:tcPr>
            <w:tcW w:w="153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F2DC03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周末水平</w:t>
            </w:r>
          </w:p>
        </w:tc>
        <w:tc>
          <w:tcPr>
            <w:tcW w:w="141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682EDB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周变动</w:t>
            </w:r>
          </w:p>
        </w:tc>
        <w:tc>
          <w:tcPr>
            <w:tcW w:w="515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D73641F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简要判断</w:t>
            </w:r>
          </w:p>
        </w:tc>
      </w:tr>
      <w:tr w14:paraId="727D86E4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B98462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56A607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1.2043%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CD9E36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+5.83BP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4223FF2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短端受政策利率与资金预期约束</w:t>
            </w:r>
          </w:p>
        </w:tc>
      </w:tr>
      <w:tr w14:paraId="34D4B87F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0A4C424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5年国债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EC79524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1.4073%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46CE396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-0.37BP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D296253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票息与久期的平衡区</w:t>
            </w:r>
          </w:p>
        </w:tc>
      </w:tr>
      <w:tr w14:paraId="63D298DA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C0E5E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10年国债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4A6961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1.7114%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FE8AF8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-0.27BP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7C26626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弱需求支撑，但接近区间下沿</w:t>
            </w:r>
          </w:p>
        </w:tc>
      </w:tr>
      <w:tr w14:paraId="3A263088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8017A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10Y-1Y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874C1C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50.71BP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AFF67A3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-6.10BP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50854F6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牛市平坦化</w:t>
            </w:r>
          </w:p>
        </w:tc>
      </w:tr>
      <w:tr w14:paraId="618ACB5A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6A07F4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10Y-5Y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307C19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30.41BP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093C3B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+0.10BP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5978A6A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中长段斜率基本稳定</w:t>
            </w:r>
          </w:p>
        </w:tc>
      </w:tr>
      <w:tr w14:paraId="7E81D0F5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27209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DR007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ACF410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1.3881%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C07B17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-5.88BP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290167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低于7天逆回购利率</w:t>
            </w:r>
          </w:p>
        </w:tc>
      </w:tr>
    </w:tbl>
    <w:p w14:paraId="7DDDAA3C">
      <w:pPr>
        <w:spacing w:after="20"/>
      </w:pPr>
    </w:p>
    <w:p w14:paraId="035692EA">
      <w:r>
        <w:br w:type="page"/>
      </w:r>
    </w:p>
    <w:p w14:paraId="79799AA1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一、市场表现：曲线与期限结构</w:t>
      </w:r>
    </w:p>
    <w:p w14:paraId="2F302651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周内10年期国债收益率大部分时间围绕1.70%窄幅波动，长端波动小于短端。短端主要受公开市场回笼、政策利率锚和跨月后资金预期影响，中长端则继续交易需求偏弱与配置力量。</w:t>
      </w:r>
    </w:p>
    <w:p w14:paraId="080F0476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/>
          <w:color w:val="1F4E79"/>
          <w:sz w:val="19"/>
        </w:rPr>
        <w:t>期限利差比单一收益率点位更能反映本周主线。</w:t>
      </w:r>
      <w:r>
        <w:rPr>
          <w:rFonts w:ascii="Arial" w:hAnsi="Arial" w:eastAsia="Noto Serif CJK SC"/>
          <w:b w:val="0"/>
          <w:color w:val="1C2024"/>
          <w:sz w:val="19"/>
        </w:rPr>
        <w:t>10Y-1Y较上周五收窄6.10BP，市场交易的是“短端有锚、长端缓慢下移”，而非对大幅降息的集中押注。</w:t>
      </w:r>
    </w:p>
    <w:p w14:paraId="23CE18C5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634615"/>
            <wp:effectExtent l="0" t="0" r="146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63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38D7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图1  1年、5年、10年国债收益率走势</w:t>
      </w:r>
    </w:p>
    <w:p w14:paraId="18BA1403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资料来源：公开历史行情，作者整理；周度端点结论以中债收益率曲线为准。</w:t>
      </w:r>
    </w:p>
    <w:p w14:paraId="0D314DEC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392045"/>
            <wp:effectExtent l="0" t="0" r="14605" b="209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39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A985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图2  10Y-1Y与10Y-5Y期限利差</w:t>
      </w:r>
    </w:p>
    <w:p w14:paraId="3FC4F8AD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资料来源：公开历史行情，作者计算。</w:t>
      </w:r>
    </w:p>
    <w:p w14:paraId="2B953697">
      <w:r>
        <w:br w:type="page"/>
      </w:r>
    </w:p>
    <w:p w14:paraId="762C1A11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二、资金情况：公开市场操作与DR利率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67ED9FB2">
        <w:trPr>
          <w:cantSplit/>
          <w:tblHeader/>
          <w:jc w:val="center"/>
        </w:trPr>
        <w:tc>
          <w:tcPr>
            <w:tcW w:w="187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5CE709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指标</w:t>
            </w:r>
          </w:p>
        </w:tc>
        <w:tc>
          <w:tcPr>
            <w:tcW w:w="226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6102D99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周初/上周五</w:t>
            </w:r>
          </w:p>
        </w:tc>
        <w:tc>
          <w:tcPr>
            <w:tcW w:w="226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EF5C5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周末/本周合计</w:t>
            </w:r>
          </w:p>
        </w:tc>
        <w:tc>
          <w:tcPr>
            <w:tcW w:w="345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8FB511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变化或口径</w:t>
            </w:r>
          </w:p>
        </w:tc>
      </w:tr>
      <w:tr w14:paraId="7AFB7AAF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FDE198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DR001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E2DFF0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1.4175%（上周五）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13C4E1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1.3618%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222D18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-5.57BP</w:t>
            </w:r>
          </w:p>
        </w:tc>
      </w:tr>
      <w:tr w14:paraId="4865FC79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23DFA5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DR007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80F78B2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1.4469%（上周五）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2FFBF19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1.3881%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0F726CC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-5.88BP</w:t>
            </w:r>
          </w:p>
        </w:tc>
      </w:tr>
      <w:tr w14:paraId="7D41A952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7D193CC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公开市场净额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5A5E55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—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2B4822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-15,255亿元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5F3D7F4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按8/3—8/7全工具日度口径</w:t>
            </w:r>
          </w:p>
        </w:tc>
      </w:tr>
    </w:tbl>
    <w:p w14:paraId="53BB663A">
      <w:pPr>
        <w:spacing w:after="20"/>
      </w:pPr>
    </w:p>
    <w:p w14:paraId="5506351F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按已披露公开市场工具合并计算，8月3—7日合计净回笼15,255亿元，其中8月3日和4日回笼规模较大。但DR001、DR007均回落，操作数量与资金价格出现背离，说明央行主要在回收冗余流动性。</w:t>
      </w:r>
    </w:p>
    <w:p w14:paraId="7AAAEF38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/>
          <w:color w:val="1F4E79"/>
          <w:sz w:val="19"/>
        </w:rPr>
        <w:t>本周资金面仍属宽松。</w:t>
      </w:r>
      <w:r>
        <w:rPr>
          <w:rFonts w:ascii="Arial" w:hAnsi="Arial" w:eastAsia="Noto Serif CJK SC"/>
          <w:b w:val="0"/>
          <w:color w:val="1C2024"/>
          <w:sz w:val="19"/>
        </w:rPr>
        <w:t>判断资金是否真正转紧，应同时观察操作净额、DR利率和非银融资分层；单看净回笼规模容易高估流动性压力。</w:t>
      </w:r>
    </w:p>
    <w:p w14:paraId="40066178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473325"/>
            <wp:effectExtent l="0" t="0" r="14605" b="15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7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95D00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图3  DR001、DR007与7天逆回购利率</w:t>
      </w:r>
    </w:p>
    <w:p w14:paraId="594612B5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资料来源：中国人民银行、公开市场数据，作者整理。</w:t>
      </w:r>
    </w:p>
    <w:p w14:paraId="20A40423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311400"/>
            <wp:effectExtent l="0" t="0" r="146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31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32364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图4  公开市场操作净投放</w:t>
      </w:r>
    </w:p>
    <w:p w14:paraId="1ACB8099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资料来源：中国人民银行及公开市场信息，作者整理；净额尽量纳入7天、隔夜与买断式工具。</w:t>
      </w:r>
    </w:p>
    <w:p w14:paraId="3F4CB733">
      <w:r>
        <w:br w:type="page"/>
      </w:r>
    </w:p>
    <w:p w14:paraId="66A1727E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三、政策与基本面：数据、政策与海外约束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80"/>
        <w:gridCol w:w="2480"/>
        <w:gridCol w:w="2480"/>
      </w:tblGrid>
      <w:tr w14:paraId="68725384">
        <w:trPr>
          <w:cantSplit/>
          <w:tblHeader/>
          <w:jc w:val="center"/>
        </w:trPr>
        <w:tc>
          <w:tcPr>
            <w:tcW w:w="153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C398BFE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日期</w:t>
            </w:r>
          </w:p>
        </w:tc>
        <w:tc>
          <w:tcPr>
            <w:tcW w:w="170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331C7E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政策/数据</w:t>
            </w:r>
          </w:p>
        </w:tc>
        <w:tc>
          <w:tcPr>
            <w:tcW w:w="3288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8F528F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事实结果</w:t>
            </w:r>
          </w:p>
        </w:tc>
        <w:tc>
          <w:tcPr>
            <w:tcW w:w="334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125503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债市含义</w:t>
            </w:r>
          </w:p>
        </w:tc>
      </w:tr>
      <w:tr w14:paraId="32A40B0A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18B9C3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7月31日（影响本周）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1A3D4F0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7月PMI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2563C5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制造业PMI 49.2，非制造业商务活动指数49.0，综合PMI产出指数49.3。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24914E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经济动能处于荣枯线下方，利好中长端；稳增长预期限制收益率单边下行。</w:t>
            </w:r>
          </w:p>
        </w:tc>
      </w:tr>
      <w:tr w14:paraId="4F39F987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CCEB1BC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8月3—7日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F84CE3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公开市场操作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1F74EF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大额净回笼与较低DR并存。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1CDA01D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数量回笼更多是回收冗余流动性，政策并未推动资金价格显著上行。</w:t>
            </w:r>
          </w:p>
        </w:tc>
      </w:tr>
      <w:tr w14:paraId="7B2A1894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0095BD6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8月5日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EC4837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30年国债与香港人民币国债发行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4BA990D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30年国债招标利率2.1849%，全场倍数6.56；香港发行150亿元人民币国债，认购倍数4.67。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C91416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配置需求较强，超长供给未形成持续二级抛压。</w:t>
            </w:r>
          </w:p>
        </w:tc>
      </w:tr>
      <w:tr w14:paraId="77674136">
        <w:trPr>
          <w:cantSplit/>
          <w:jc w:val="center"/>
        </w:trPr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EE4E459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8月9日（下周）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4C75BB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7月CPI/PPI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68398F5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市场关注核心通胀、PPI环比及价格修复斜率。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2EB128A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决定“弱需求+实际利率偏高”逻辑能否继续强化。</w:t>
            </w:r>
          </w:p>
        </w:tc>
      </w:tr>
    </w:tbl>
    <w:p w14:paraId="7FABCEEA">
      <w:pPr>
        <w:spacing w:after="20"/>
      </w:pPr>
    </w:p>
    <w:p w14:paraId="565141B1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海外：全球长端上行限制追涨空间</w:t>
      </w:r>
    </w:p>
    <w:p w14:paraId="7803051D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海外长端收益率阶段性上行，对国内债市主要形成情绪和汇率约束。国内资金价格稳定、基本面偏弱，外部冲击限制了追涨空间，但没有改变曲线牛平的方向。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740DC31F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6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609AF06B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20"/>
              </w:rPr>
              <w:t>政策判断</w:t>
            </w:r>
          </w:p>
          <w:p w14:paraId="64EAC677">
            <w:pPr>
              <w:spacing w:after="0" w:line="312" w:lineRule="auto"/>
            </w:pPr>
            <w:r>
              <w:rPr>
                <w:rFonts w:ascii="Arial" w:hAnsi="Arial" w:eastAsia="Noto Serif CJK SC"/>
                <w:b/>
                <w:color w:val="1F4E79"/>
                <w:sz w:val="18"/>
              </w:rPr>
              <w:t>公开市场大额净回笼未带动资金利率上行，政策取向仍以维持流动性合理充裕为主。</w:t>
            </w:r>
            <w:r>
              <w:rPr>
                <w:rFonts w:ascii="Arial" w:hAnsi="Arial" w:eastAsia="Noto Serif CJK SC"/>
                <w:b w:val="0"/>
                <w:color w:val="1C2024"/>
                <w:sz w:val="18"/>
              </w:rPr>
              <w:t>当前更接近“宽松环境下的精细调节”，不能据此推断短期内必然降息。</w:t>
            </w:r>
          </w:p>
        </w:tc>
      </w:tr>
    </w:tbl>
    <w:p w14:paraId="42AA68CD">
      <w:pPr>
        <w:spacing w:after="20"/>
      </w:pPr>
    </w:p>
    <w:p w14:paraId="59D039B2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四、供求面与信用市场：一级承接、利差与结构</w:t>
      </w:r>
    </w:p>
    <w:p w14:paraId="3BF49F5F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利率债供给：净融资与招标承接</w:t>
      </w:r>
    </w:p>
    <w:p w14:paraId="7D36009D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8月3—9日利率债发行7,123.20亿元、到期2,661.80亿元，净融资4,461.40亿元。30年国债和香港人民币国债认购情况较好，长久期供给未对二级市场形成持续压力。</w:t>
      </w:r>
    </w:p>
    <w:p w14:paraId="1A67CA62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信用市场：发行结构与二级表现</w:t>
      </w:r>
    </w:p>
    <w:p w14:paraId="582A6C04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8月3—9日信用债发行742只、规模9,706.92亿元（含同业存单），到期7,366.73亿元，净融资2,340.19亿元。AAA发行3,235.36亿元，占有评级发行规模的75.74%，期限以3—5年为主。</w:t>
      </w:r>
    </w:p>
    <w:p w14:paraId="7BCB92CA">
      <w:pPr>
        <w:pStyle w:val="164"/>
        <w:spacing w:before="0" w:after="84" w:line="326" w:lineRule="auto"/>
        <w:ind w:firstLine="420"/>
      </w:pPr>
      <w:r>
        <w:rPr>
          <w:rFonts w:ascii="Arial" w:hAnsi="Arial" w:eastAsia="Noto Serif CJK SC"/>
          <w:b w:val="0"/>
          <w:color w:val="1C2024"/>
          <w:sz w:val="19"/>
        </w:rPr>
        <w:t>二级市场中，AA-城投7年期收益率下行8.50BP，AA-中短票据3年期下行2.52BP。低等级、长久期品种压缩更明显，但这一表现更多反映估值修复和配置需求，不能直接等同于主体信用改善。</w:t>
      </w:r>
    </w:p>
    <w:p w14:paraId="18639F37">
      <w:pPr>
        <w:spacing w:before="20" w:after="0" w:line="240" w:lineRule="auto"/>
        <w:jc w:val="center"/>
      </w:pPr>
      <w:r>
        <w:drawing>
          <wp:inline distT="0" distB="0" distL="114300" distR="114300">
            <wp:extent cx="5903595" cy="2553970"/>
            <wp:effectExtent l="0" t="0" r="14605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55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9BEE">
      <w:pPr>
        <w:spacing w:before="40" w:after="20" w:line="240" w:lineRule="auto"/>
        <w:jc w:val="center"/>
      </w:pPr>
      <w:r>
        <w:rPr>
          <w:rFonts w:ascii="Arial" w:hAnsi="Arial" w:eastAsia="Noto Sans CJK SC"/>
          <w:b/>
          <w:color w:val="1C2024"/>
          <w:sz w:val="16"/>
        </w:rPr>
        <w:t>图5  利率债与信用债一级发行、到期及净融资</w:t>
      </w:r>
    </w:p>
    <w:p w14:paraId="59B60298">
      <w:pPr>
        <w:spacing w:after="80" w:line="252" w:lineRule="auto"/>
        <w:jc w:val="center"/>
      </w:pPr>
      <w:r>
        <w:rPr>
          <w:rFonts w:ascii="Arial" w:hAnsi="Arial" w:eastAsia="Noto Sans CJK SC"/>
          <w:b w:val="0"/>
          <w:color w:val="707880"/>
          <w:sz w:val="14"/>
        </w:rPr>
        <w:t>资料来源：公开券商周报与发行信息，作者整理；信用债统计含同业存单。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  <w:gridCol w:w="1984"/>
      </w:tblGrid>
      <w:tr w14:paraId="4F422934">
        <w:trPr>
          <w:cantSplit/>
          <w:tblHeader/>
          <w:jc w:val="center"/>
        </w:trPr>
        <w:tc>
          <w:tcPr>
            <w:tcW w:w="158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B8F6F9E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品种</w:t>
            </w:r>
          </w:p>
        </w:tc>
        <w:tc>
          <w:tcPr>
            <w:tcW w:w="187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11F79FA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发行（亿元）</w:t>
            </w:r>
          </w:p>
        </w:tc>
        <w:tc>
          <w:tcPr>
            <w:tcW w:w="187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CC9FE16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到期（亿元）</w:t>
            </w:r>
          </w:p>
        </w:tc>
        <w:tc>
          <w:tcPr>
            <w:tcW w:w="1870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A2BE6B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净融资（亿元）</w:t>
            </w:r>
          </w:p>
        </w:tc>
        <w:tc>
          <w:tcPr>
            <w:tcW w:w="2664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1C5B84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结构特征</w:t>
            </w:r>
          </w:p>
        </w:tc>
      </w:tr>
      <w:tr w14:paraId="0D4986E6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62A8ABD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利率债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3486C9B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7,123.20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4A0AFE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2,661.80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9271599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+4,461.40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7D768BD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配置盘承接较强</w:t>
            </w:r>
          </w:p>
        </w:tc>
      </w:tr>
      <w:tr w14:paraId="38E49FE8">
        <w:trPr>
          <w:cantSplit/>
          <w:jc w:val="center"/>
        </w:trPr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99E936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信用债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A4ADDA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9,706.92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8045950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7,366.73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2CF06F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+2,340.19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00938902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关注评级、期限和流动性</w:t>
            </w:r>
          </w:p>
        </w:tc>
      </w:tr>
    </w:tbl>
    <w:p w14:paraId="5BADA837">
      <w:pPr>
        <w:spacing w:after="20"/>
      </w:pPr>
    </w:p>
    <w:p w14:paraId="217C36A7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五、交易日复盘：盘面、驱动与关注</w:t>
      </w:r>
    </w:p>
    <w:p w14:paraId="18C7FCF1">
      <w:pPr>
        <w:pStyle w:val="164"/>
        <w:spacing w:before="0" w:after="84" w:line="326" w:lineRule="auto"/>
        <w:ind w:firstLine="0"/>
      </w:pPr>
      <w:r>
        <w:rPr>
          <w:rFonts w:ascii="Arial" w:hAnsi="Arial" w:eastAsia="Noto Serif CJK SC"/>
          <w:b w:val="0"/>
          <w:color w:val="1C2024"/>
          <w:sz w:val="19"/>
        </w:rPr>
        <w:t>以下按交易日梳理盘面变化、主要驱动和次日关注。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353"/>
        <w:gridCol w:w="2471"/>
        <w:gridCol w:w="2817"/>
      </w:tblGrid>
      <w:tr w14:paraId="0F594D8E">
        <w:trPr>
          <w:cantSplit/>
          <w:tblHeader/>
          <w:jc w:val="center"/>
        </w:trPr>
        <w:tc>
          <w:tcPr>
            <w:tcW w:w="227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D2AAE15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日期</w:t>
            </w:r>
          </w:p>
        </w:tc>
        <w:tc>
          <w:tcPr>
            <w:tcW w:w="2353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1DDE9B7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盘面</w:t>
            </w:r>
          </w:p>
        </w:tc>
        <w:tc>
          <w:tcPr>
            <w:tcW w:w="2471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241D52A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主要驱动</w:t>
            </w:r>
          </w:p>
        </w:tc>
        <w:tc>
          <w:tcPr>
            <w:tcW w:w="281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DEFC5A6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次日关注</w:t>
            </w:r>
          </w:p>
        </w:tc>
      </w:tr>
      <w:tr w14:paraId="7643A5E5">
        <w:trPr>
          <w:cantSplit/>
          <w:jc w:val="center"/>
        </w:trPr>
        <w:tc>
          <w:tcPr>
            <w:tcW w:w="227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F43FBFB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8月3日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E54C063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10Y活跃券约1.705%，现券偏弱整理</w:t>
            </w:r>
          </w:p>
        </w:tc>
        <w:tc>
          <w:tcPr>
            <w:tcW w:w="247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C8354C3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海外长债收益率上行；国内收益率处于区间下沿。大额回笼但资金价格未明显收紧。</w:t>
            </w:r>
          </w:p>
        </w:tc>
        <w:tc>
          <w:tcPr>
            <w:tcW w:w="281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F29DB2C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政策落地节奏、央行流动性对冲强度</w:t>
            </w:r>
          </w:p>
        </w:tc>
      </w:tr>
      <w:tr w14:paraId="5608CD8A">
        <w:trPr>
          <w:cantSplit/>
          <w:jc w:val="center"/>
        </w:trPr>
        <w:tc>
          <w:tcPr>
            <w:tcW w:w="227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C59C1C8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8月4日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D6FF131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主要利率债收益率回落</w:t>
            </w:r>
          </w:p>
        </w:tc>
        <w:tc>
          <w:tcPr>
            <w:tcW w:w="247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F551CF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资金边际转松，前一日调整后配置需求回补；弱基本面与宽松预期继续被交易。</w:t>
            </w:r>
          </w:p>
        </w:tc>
        <w:tc>
          <w:tcPr>
            <w:tcW w:w="281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1911C62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30年国债及香港人民币国债供给</w:t>
            </w:r>
          </w:p>
        </w:tc>
      </w:tr>
      <w:tr w14:paraId="3577590E">
        <w:trPr>
          <w:cantSplit/>
          <w:jc w:val="center"/>
        </w:trPr>
        <w:tc>
          <w:tcPr>
            <w:tcW w:w="227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8B50F1D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8月5日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5F624C7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曲线分化，超长供给顺利消化</w:t>
            </w:r>
          </w:p>
        </w:tc>
        <w:tc>
          <w:tcPr>
            <w:tcW w:w="247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1AAB451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30年国债招标需求强，香港人民币国债认购积极；买断式工具到期使OMO口径出现差异。</w:t>
            </w:r>
          </w:p>
        </w:tc>
        <w:tc>
          <w:tcPr>
            <w:tcW w:w="281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1D2E1AF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超长端二级承接、资金分层</w:t>
            </w:r>
          </w:p>
        </w:tc>
      </w:tr>
      <w:tr w14:paraId="737FAF44">
        <w:trPr>
          <w:cantSplit/>
          <w:jc w:val="center"/>
        </w:trPr>
        <w:tc>
          <w:tcPr>
            <w:tcW w:w="227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519E949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8月6日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E582ECB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债市偏强，超长端利差压缩</w:t>
            </w:r>
          </w:p>
        </w:tc>
        <w:tc>
          <w:tcPr>
            <w:tcW w:w="247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4738BD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宽资金与配置需求推动长久期表现；10年期接近1.70%，进一步突破仍需数据催化。</w:t>
            </w:r>
          </w:p>
        </w:tc>
        <w:tc>
          <w:tcPr>
            <w:tcW w:w="281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0AA076D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周末资金、7月物价数据预期</w:t>
            </w:r>
          </w:p>
        </w:tc>
      </w:tr>
      <w:tr w14:paraId="2F2F10CF">
        <w:trPr>
          <w:cantSplit/>
          <w:jc w:val="center"/>
        </w:trPr>
        <w:tc>
          <w:tcPr>
            <w:tcW w:w="227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0F50412">
            <w:pPr>
              <w:spacing w:before="0" w:after="0" w:line="28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6"/>
              </w:rPr>
              <w:t>8月7日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50A0408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10Y在1.70%附近窄幅波动</w:t>
            </w:r>
          </w:p>
        </w:tc>
        <w:tc>
          <w:tcPr>
            <w:tcW w:w="2471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69D8B4E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一周牛平格局确认，利好已有部分定价；交易从趋势转向点位与相对价值。</w:t>
            </w:r>
          </w:p>
        </w:tc>
        <w:tc>
          <w:tcPr>
            <w:tcW w:w="281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1CE0966">
            <w:pPr>
              <w:spacing w:before="0" w:after="0" w:line="28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6"/>
              </w:rPr>
              <w:t>8月9日CPI/PPI、大额到期与政策操作</w:t>
            </w:r>
          </w:p>
        </w:tc>
      </w:tr>
    </w:tbl>
    <w:p w14:paraId="2212938C">
      <w:pPr>
        <w:spacing w:after="20"/>
      </w:pP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09725080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1F4E79" w:sz="16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48F0E674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20"/>
              </w:rPr>
              <w:t>周度结论</w:t>
            </w:r>
          </w:p>
          <w:p w14:paraId="7958856F">
            <w:pPr>
              <w:spacing w:after="0" w:line="312" w:lineRule="auto"/>
            </w:pPr>
            <w:r>
              <w:rPr>
                <w:rFonts w:ascii="Arial" w:hAnsi="Arial" w:eastAsia="Noto Serif CJK SC"/>
                <w:b/>
                <w:color w:val="1F4E79"/>
                <w:sz w:val="18"/>
              </w:rPr>
              <w:t>本周债市的核心变化是期限利差收窄，而不是收益率全面下行。</w:t>
            </w:r>
            <w:r>
              <w:rPr>
                <w:rFonts w:ascii="Arial" w:hAnsi="Arial" w:eastAsia="Noto Serif CJK SC"/>
                <w:b w:val="0"/>
                <w:color w:val="1C2024"/>
                <w:sz w:val="18"/>
              </w:rPr>
              <w:t>资金价格保持低位、弱需求预期延续，5—10年期仍具配置价值；10年期接近1.70%时不宜追价，超长端以相对价值交易为主。</w:t>
            </w:r>
          </w:p>
        </w:tc>
      </w:tr>
    </w:tbl>
    <w:p w14:paraId="09D423F6">
      <w:pPr>
        <w:pStyle w:val="165"/>
        <w:keepNext/>
        <w:pBdr>
          <w:bottom w:val="single" w:color="AAB4BE" w:sz="6" w:space="3"/>
        </w:pBdr>
        <w:spacing w:before="200" w:after="100"/>
      </w:pPr>
      <w:r>
        <w:rPr>
          <w:rFonts w:ascii="Arial" w:hAnsi="Arial" w:eastAsia="Noto Sans CJK SC"/>
          <w:b/>
          <w:color w:val="1C2024"/>
          <w:sz w:val="26"/>
        </w:rPr>
        <w:t>六、策略总结与后市展望</w:t>
      </w:r>
    </w:p>
    <w:p w14:paraId="0D45F2F9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分账户策略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9"/>
        <w:gridCol w:w="3515"/>
        <w:gridCol w:w="3307"/>
      </w:tblGrid>
      <w:tr w14:paraId="608B1D79">
        <w:trPr>
          <w:cantSplit/>
          <w:tblHeader/>
          <w:jc w:val="center"/>
        </w:trPr>
        <w:tc>
          <w:tcPr>
            <w:tcW w:w="3099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73774A10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账户类型</w:t>
            </w:r>
          </w:p>
        </w:tc>
        <w:tc>
          <w:tcPr>
            <w:tcW w:w="3515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15068B70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配置与操作</w:t>
            </w:r>
          </w:p>
        </w:tc>
        <w:tc>
          <w:tcPr>
            <w:tcW w:w="3307" w:type="dxa"/>
            <w:tcBorders>
              <w:top w:val="single" w:color="AAB4BE" w:sz="6" w:space="0"/>
              <w:left w:val="nil"/>
              <w:bottom w:val="single" w:color="AAB4BE" w:sz="4" w:space="0"/>
              <w:right w:val="nil"/>
            </w:tcBorders>
            <w:shd w:val="clear" w:color="auto" w:fill="F2F6F9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CBF2CB7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风险控制</w:t>
            </w:r>
          </w:p>
        </w:tc>
      </w:tr>
      <w:tr w14:paraId="4CC6D015">
        <w:trPr>
          <w:cantSplit/>
          <w:jc w:val="center"/>
        </w:trPr>
        <w:tc>
          <w:tcPr>
            <w:tcW w:w="3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4A9C5ABF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交易盘</w:t>
            </w:r>
          </w:p>
        </w:tc>
        <w:tc>
          <w:tcPr>
            <w:tcW w:w="351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45F30B0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保持中性偏多，回调增持5—10年期；10年期接近1.70%以下时降低追价意愿。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79C1ACD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DR007持续高于1.40%、超长供给放量且招标走弱时先降杠杆。</w:t>
            </w:r>
          </w:p>
        </w:tc>
      </w:tr>
      <w:tr w14:paraId="4F0279D0">
        <w:trPr>
          <w:cantSplit/>
          <w:jc w:val="center"/>
        </w:trPr>
        <w:tc>
          <w:tcPr>
            <w:tcW w:w="3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A4244D3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配置盘</w:t>
            </w:r>
          </w:p>
        </w:tc>
        <w:tc>
          <w:tcPr>
            <w:tcW w:w="351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2A1156E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优先5—10年高流动性利率债，超长端通过30Y-10Y利差压缩获取相对收益。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AFBFC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3CE5C3E9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控制久期集中度，避免供给冲击与估值回摆叠加。</w:t>
            </w:r>
          </w:p>
        </w:tc>
      </w:tr>
      <w:tr w14:paraId="47FC0D29">
        <w:trPr>
          <w:cantSplit/>
          <w:jc w:val="center"/>
        </w:trPr>
        <w:tc>
          <w:tcPr>
            <w:tcW w:w="3099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6E0A1D81">
            <w:pPr>
              <w:spacing w:before="0" w:after="0" w:line="293" w:lineRule="auto"/>
              <w:jc w:val="center"/>
            </w:pPr>
            <w:r>
              <w:rPr>
                <w:rFonts w:ascii="Arial" w:hAnsi="Arial" w:eastAsia="Noto Sans CJK SC"/>
                <w:b/>
                <w:color w:val="1C2024"/>
                <w:sz w:val="17"/>
              </w:rPr>
              <w:t>信用账户</w:t>
            </w:r>
          </w:p>
        </w:tc>
        <w:tc>
          <w:tcPr>
            <w:tcW w:w="3515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241C017F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高等级信用票息仍可配置，结构上关注3—5年与有流动性的城投/中票。</w:t>
            </w:r>
          </w:p>
        </w:tc>
        <w:tc>
          <w:tcPr>
            <w:tcW w:w="3307" w:type="dxa"/>
            <w:tcBorders>
              <w:top w:val="nil"/>
              <w:left w:val="nil"/>
              <w:bottom w:val="single" w:color="D6DCE1" w:sz="2" w:space="0"/>
              <w:right w:val="nil"/>
            </w:tcBorders>
            <w:shd w:val="clear" w:color="auto" w:fill="FFFFFF"/>
            <w:tcMar>
              <w:top w:w="95" w:type="dxa"/>
              <w:left w:w="115" w:type="dxa"/>
              <w:bottom w:w="95" w:type="dxa"/>
              <w:right w:w="115" w:type="dxa"/>
            </w:tcMar>
            <w:vAlign w:val="center"/>
          </w:tcPr>
          <w:p w14:paraId="553F75C2">
            <w:pPr>
              <w:spacing w:before="0" w:after="0" w:line="293" w:lineRule="auto"/>
              <w:jc w:val="left"/>
            </w:pPr>
            <w:r>
              <w:rPr>
                <w:rFonts w:ascii="Arial" w:hAnsi="Arial" w:eastAsia="Noto Sans CJK SC"/>
                <w:b w:val="0"/>
                <w:color w:val="1C2024"/>
                <w:sz w:val="17"/>
              </w:rPr>
              <w:t>不做无差别下沉；主体基本面弱化或流动性折价扩大时退出。</w:t>
            </w:r>
          </w:p>
        </w:tc>
      </w:tr>
    </w:tbl>
    <w:p w14:paraId="5B26CBF7">
      <w:pPr>
        <w:spacing w:after="20"/>
      </w:pPr>
    </w:p>
    <w:p w14:paraId="0AF45953">
      <w:pPr>
        <w:pStyle w:val="166"/>
        <w:keepNext/>
        <w:spacing w:before="140" w:after="70"/>
      </w:pPr>
      <w:r>
        <w:rPr>
          <w:rFonts w:ascii="Arial" w:hAnsi="Arial" w:eastAsia="Noto Sans CJK SC"/>
          <w:b/>
          <w:color w:val="1C2024"/>
          <w:sz w:val="22"/>
        </w:rPr>
        <w:t>后续重点关注</w:t>
      </w:r>
    </w:p>
    <w:p w14:paraId="4F8FB64C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8月9日CPI、PPI及核心通胀表现</w:t>
      </w:r>
    </w:p>
    <w:p w14:paraId="2778A3DA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大额逆回购与买断式工具到期的续作安排</w:t>
      </w:r>
    </w:p>
    <w:p w14:paraId="66F4B5D0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税期前后DR007与非银资金分层</w:t>
      </w:r>
    </w:p>
    <w:p w14:paraId="1BD684E9">
      <w:pPr>
        <w:pStyle w:val="164"/>
        <w:spacing w:after="50" w:line="317" w:lineRule="auto"/>
        <w:ind w:left="283" w:hanging="198"/>
      </w:pPr>
      <w:r>
        <w:rPr>
          <w:rFonts w:ascii="Arial" w:hAnsi="Arial" w:eastAsia="Noto Serif CJK SC"/>
          <w:b w:val="0"/>
          <w:color w:val="1C2024"/>
          <w:sz w:val="19"/>
        </w:rPr>
        <w:t>• 超长期国债供给后的二级承接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2"/>
      </w:tblGrid>
      <w:tr w14:paraId="12FDAF4A">
        <w:trPr>
          <w:cantSplit/>
          <w:jc w:val="center"/>
        </w:trPr>
        <w:tc>
          <w:tcPr>
            <w:tcW w:w="9922" w:type="dxa"/>
            <w:tcBorders>
              <w:top w:val="single" w:color="D6DCE1" w:sz="2" w:space="0"/>
              <w:left w:val="single" w:color="AAB4BE" w:sz="8" w:space="0"/>
              <w:bottom w:val="single" w:color="D6DCE1" w:sz="2" w:space="0"/>
              <w:right w:val="nil"/>
            </w:tcBorders>
            <w:shd w:val="clear" w:color="auto" w:fill="FFFFFF"/>
            <w:tcMar>
              <w:top w:w="115" w:type="dxa"/>
              <w:left w:w="145" w:type="dxa"/>
              <w:bottom w:w="110" w:type="dxa"/>
              <w:right w:w="130" w:type="dxa"/>
            </w:tcMar>
          </w:tcPr>
          <w:p w14:paraId="7B8E750B">
            <w:pPr>
              <w:spacing w:after="60" w:line="312" w:lineRule="auto"/>
            </w:pPr>
            <w:r>
              <w:rPr>
                <w:rFonts w:ascii="Arial" w:hAnsi="Arial" w:eastAsia="Noto Sans CJK SC"/>
                <w:b/>
                <w:color w:val="1C2024"/>
                <w:sz w:val="19"/>
              </w:rPr>
              <w:t>数据口径与资料来源</w:t>
            </w:r>
          </w:p>
          <w:p w14:paraId="1FFBFB08">
            <w:pPr>
              <w:spacing w:after="0" w:line="312" w:lineRule="auto"/>
            </w:pPr>
            <w:r>
              <w:rPr>
                <w:rFonts w:ascii="Arial" w:hAnsi="Arial" w:eastAsia="Noto Serif CJK SC"/>
                <w:b w:val="0"/>
                <w:color w:val="707880"/>
                <w:sz w:val="16"/>
              </w:rPr>
              <w:t>周度端点以中债日终曲线为准，日度公开行情仅用于观察交易节奏。报告基于公开信息整理，仅用于学习与研究展示。主要资料来源包括中国人民银行、国家统计局、财政部、中债收益率曲线、新华财经及公开券商固收周报。</w:t>
            </w:r>
          </w:p>
        </w:tc>
      </w:tr>
    </w:tbl>
    <w:p w14:paraId="131E54D4"/>
    <w:sectPr>
      <w:headerReference r:id="rId5" w:type="default"/>
      <w:footerReference r:id="rId6" w:type="default"/>
      <w:pgSz w:w="11906" w:h="16838"/>
      <w:pgMar w:top="879" w:right="935" w:bottom="822" w:left="935" w:header="312" w:footer="255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3629B">
    <w:pPr>
      <w:pStyle w:val="24"/>
      <w:spacing w:after="0"/>
    </w:pPr>
  </w:p>
  <w:tbl>
    <w:tblPr>
      <w:tblStyle w:val="32"/>
      <w:tblW w:w="0" w:type="auto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961"/>
      <w:gridCol w:w="4961"/>
    </w:tblGrid>
    <w:tr w14:paraId="66550D3A">
      <w:trPr>
        <w:jc w:val="center"/>
      </w:trPr>
      <w:tc>
        <w:tcPr>
          <w:tcW w:w="7766" w:type="dxa"/>
          <w:tcBorders>
            <w:top w:val="single" w:color="D6DCE1" w:sz="2" w:space="0"/>
            <w:left w:val="nil"/>
            <w:bottom w:val="nil"/>
            <w:right w:val="nil"/>
          </w:tcBorders>
          <w:shd w:val="clear" w:color="auto" w:fill="FFFFFF"/>
          <w:tcMar>
            <w:top w:w="55" w:type="dxa"/>
            <w:left w:w="0" w:type="dxa"/>
            <w:bottom w:w="0" w:type="dxa"/>
            <w:right w:w="0" w:type="dxa"/>
          </w:tcMar>
        </w:tcPr>
        <w:p w14:paraId="09DE7FEF">
          <w:pPr>
            <w:spacing w:after="0"/>
            <w:jc w:val="left"/>
          </w:pPr>
          <w:r>
            <w:rPr>
              <w:rFonts w:ascii="Arial" w:hAnsi="Arial" w:eastAsia="Noto Sans CJK SC"/>
              <w:b w:val="0"/>
              <w:color w:val="707880"/>
              <w:sz w:val="14"/>
            </w:rPr>
            <w:t>陈佳梅（Ami Chen）｜上海财经大学财税投资学院</w:t>
          </w:r>
        </w:p>
      </w:tc>
      <w:tc>
        <w:tcPr>
          <w:tcW w:w="2154" w:type="dxa"/>
          <w:tcBorders>
            <w:top w:val="single" w:color="D6DCE1" w:sz="2" w:space="0"/>
            <w:left w:val="nil"/>
            <w:bottom w:val="nil"/>
            <w:right w:val="nil"/>
          </w:tcBorders>
          <w:shd w:val="clear" w:color="auto" w:fill="FFFFFF"/>
          <w:tcMar>
            <w:top w:w="55" w:type="dxa"/>
            <w:left w:w="0" w:type="dxa"/>
            <w:bottom w:w="0" w:type="dxa"/>
            <w:right w:w="0" w:type="dxa"/>
          </w:tcMar>
        </w:tcPr>
        <w:p w14:paraId="230B7491">
          <w:pPr>
            <w:spacing w:after="0"/>
            <w:jc w:val="right"/>
          </w:pPr>
          <w:r>
            <w:rPr>
              <w:rFonts w:ascii="Arial" w:hAnsi="Arial" w:eastAsia="Noto Sans CJK SC"/>
              <w:b w:val="0"/>
              <w:color w:val="707880"/>
              <w:sz w:val="14"/>
            </w:rPr>
            <w:t xml:space="preserve">第 </w:t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fldChar w:fldCharType="begin"/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instrText xml:space="preserve"> PAGE </w:instrText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fldChar w:fldCharType="end"/>
          </w:r>
          <w:r>
            <w:rPr>
              <w:rFonts w:ascii="Arial" w:hAnsi="Arial" w:eastAsia="Noto Sans CJK SC"/>
              <w:b w:val="0"/>
              <w:color w:val="707880"/>
              <w:sz w:val="14"/>
            </w:rPr>
            <w:t xml:space="preserve"> 页</w:t>
          </w:r>
        </w:p>
      </w:tc>
    </w:tr>
  </w:tbl>
  <w:p w14:paraId="26A1A3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6" w:lineRule="auto"/>
      </w:pPr>
      <w:r>
        <w:separator/>
      </w:r>
    </w:p>
  </w:footnote>
  <w:footnote w:type="continuationSeparator" w:id="1">
    <w:p>
      <w:pPr>
        <w:spacing w:before="0" w:after="0" w:line="32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27C60">
    <w:pPr>
      <w:pStyle w:val="25"/>
      <w:pBdr>
        <w:bottom w:val="single" w:color="D6DCE1" w:sz="4" w:space="3"/>
      </w:pBdr>
      <w:spacing w:after="0"/>
      <w:jc w:val="left"/>
    </w:pPr>
    <w:r>
      <w:rPr>
        <w:rFonts w:ascii="Arial" w:hAnsi="Arial" w:eastAsia="Noto Sans CJK SC"/>
        <w:b/>
        <w:color w:val="4A525A"/>
        <w:sz w:val="15"/>
      </w:rPr>
      <w:t>上海财经大学财税投资学院｜固定收益研究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F57A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4" w:line="326" w:lineRule="auto"/>
    </w:pPr>
    <w:rPr>
      <w:rFonts w:ascii="Arial" w:hAnsi="Arial" w:eastAsia="Noto Serif CJK SC" w:cstheme="minorBidi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正文1"/>
    <w:uiPriority w:val="0"/>
    <w:pPr>
      <w:widowControl/>
      <w:spacing w:after="84" w:line="326" w:lineRule="auto"/>
    </w:pPr>
    <w:rPr>
      <w:rFonts w:ascii="Arial" w:hAnsi="Arial" w:eastAsia="Noto Serif CJK SC" w:cstheme="minorBidi"/>
      <w:sz w:val="19"/>
      <w:szCs w:val="22"/>
      <w:lang w:val="en-US" w:eastAsia="en-US" w:bidi="ar-SA"/>
    </w:rPr>
  </w:style>
  <w:style w:type="paragraph" w:customStyle="1" w:styleId="165">
    <w:name w:val="标题 11"/>
    <w:uiPriority w:val="0"/>
    <w:pPr>
      <w:keepNext/>
      <w:widowControl/>
      <w:spacing w:before="160" w:after="100" w:line="276" w:lineRule="auto"/>
    </w:pPr>
    <w:rPr>
      <w:rFonts w:ascii="Arial" w:hAnsi="Arial" w:eastAsia="Noto Sans CJK SC" w:cstheme="minorBidi"/>
      <w:b/>
      <w:color w:val="1C2024"/>
      <w:sz w:val="26"/>
      <w:szCs w:val="22"/>
      <w:lang w:val="en-US" w:eastAsia="en-US" w:bidi="ar-SA"/>
    </w:rPr>
  </w:style>
  <w:style w:type="paragraph" w:customStyle="1" w:styleId="166">
    <w:name w:val="标题 21"/>
    <w:uiPriority w:val="0"/>
    <w:pPr>
      <w:keepNext/>
      <w:widowControl/>
      <w:spacing w:before="100" w:after="60" w:line="276" w:lineRule="auto"/>
    </w:pPr>
    <w:rPr>
      <w:rFonts w:ascii="Arial" w:hAnsi="Arial" w:eastAsia="Noto Sans CJK SC" w:cstheme="minorBidi"/>
      <w:b/>
      <w:color w:val="1C2024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陈佳梅（Ami Chen）</dc:creator>
  <dc:description>generated by python-docx</dc:description>
  <cp:keywords>债券市场, 固定收益, 债市周报, 上海财经大学财税投资学院</cp:keywords>
  <cp:lastModifiedBy>夏一帧</cp:lastModifiedBy>
  <dcterms:modified xsi:type="dcterms:W3CDTF">2026-08-23T13:05:46Z</dcterms:modified>
  <dc:subject>债市周报｜上海财经大学财税投资学院</dc:subject>
  <dc:title>资金回笼未改宽松格局，期限利差继续收窄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80DD21D38F393630AA7F8A6A62EE8CC9_42</vt:lpwstr>
  </property>
</Properties>
</file>